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BF" w:rsidRPr="004C6F11" w:rsidRDefault="00DC6ABF" w:rsidP="00DC6ABF">
      <w:pPr>
        <w:spacing w:line="380" w:lineRule="exact"/>
        <w:rPr>
          <w:rFonts w:ascii="楷体" w:eastAsia="楷体" w:hAnsi="楷体" w:cs="宋体"/>
          <w:b/>
          <w:bCs/>
          <w:color w:val="424849"/>
          <w:kern w:val="0"/>
          <w:sz w:val="28"/>
          <w:szCs w:val="28"/>
        </w:rPr>
      </w:pPr>
      <w:r w:rsidRPr="004C6F11">
        <w:rPr>
          <w:rFonts w:ascii="楷体" w:eastAsia="楷体" w:hAnsi="楷体" w:cs="宋体" w:hint="eastAsia"/>
          <w:b/>
          <w:bCs/>
          <w:color w:val="424849"/>
          <w:kern w:val="0"/>
          <w:sz w:val="28"/>
          <w:szCs w:val="28"/>
        </w:rPr>
        <w:t>附件1：</w:t>
      </w:r>
    </w:p>
    <w:p w:rsidR="00DC6ABF" w:rsidRDefault="00A54F38" w:rsidP="006547A9">
      <w:pPr>
        <w:spacing w:beforeLines="50" w:before="156" w:line="560" w:lineRule="exact"/>
        <w:jc w:val="center"/>
        <w:rPr>
          <w:rFonts w:ascii="华文中宋" w:eastAsia="华文中宋" w:hAnsi="华文中宋" w:cs="Times New Roman"/>
          <w:b/>
          <w:sz w:val="36"/>
          <w:szCs w:val="36"/>
        </w:rPr>
      </w:pPr>
      <w:bookmarkStart w:id="0" w:name="_GoBack"/>
      <w:r>
        <w:rPr>
          <w:rFonts w:ascii="华文中宋" w:eastAsia="华文中宋" w:hAnsi="华文中宋" w:cs="Times New Roman"/>
          <w:b/>
          <w:sz w:val="36"/>
          <w:szCs w:val="36"/>
        </w:rPr>
        <w:t>16</w:t>
      </w:r>
      <w:r w:rsidR="00DC6ABF" w:rsidRPr="006B69FE">
        <w:rPr>
          <w:rFonts w:ascii="华文中宋" w:eastAsia="华文中宋" w:hAnsi="华文中宋" w:cs="Times New Roman" w:hint="eastAsia"/>
          <w:b/>
          <w:sz w:val="36"/>
          <w:szCs w:val="36"/>
        </w:rPr>
        <w:t>项农机装备团体标准名称及主要内容</w:t>
      </w:r>
    </w:p>
    <w:tbl>
      <w:tblPr>
        <w:tblW w:w="14317"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14"/>
        <w:gridCol w:w="1838"/>
        <w:gridCol w:w="2551"/>
        <w:gridCol w:w="9214"/>
      </w:tblGrid>
      <w:tr w:rsidR="00A54F38" w:rsidRPr="009F3C23" w:rsidTr="0083299A">
        <w:trPr>
          <w:trHeight w:val="20"/>
          <w:tblHeader/>
        </w:trPr>
        <w:tc>
          <w:tcPr>
            <w:tcW w:w="714" w:type="dxa"/>
            <w:tcBorders>
              <w:top w:val="single" w:sz="8" w:space="0" w:color="auto"/>
              <w:left w:val="single" w:sz="8" w:space="0" w:color="auto"/>
              <w:bottom w:val="single" w:sz="8" w:space="0" w:color="auto"/>
            </w:tcBorders>
            <w:vAlign w:val="center"/>
          </w:tcPr>
          <w:bookmarkEnd w:id="0"/>
          <w:p w:rsidR="00A54F38" w:rsidRPr="004252F4" w:rsidRDefault="00A54F38" w:rsidP="0083299A">
            <w:pPr>
              <w:spacing w:afterLines="10" w:after="31" w:line="360" w:lineRule="exact"/>
              <w:jc w:val="center"/>
              <w:rPr>
                <w:rFonts w:ascii="Times New Roman" w:eastAsia="黑体" w:hAnsi="Times New Roman" w:cs="Times New Roman"/>
                <w:sz w:val="24"/>
                <w:szCs w:val="24"/>
              </w:rPr>
            </w:pPr>
            <w:r w:rsidRPr="004252F4">
              <w:rPr>
                <w:rFonts w:ascii="Times New Roman" w:eastAsia="黑体" w:hAnsi="Times New Roman" w:cs="Times New Roman"/>
                <w:sz w:val="24"/>
                <w:szCs w:val="24"/>
              </w:rPr>
              <w:t>序号</w:t>
            </w:r>
          </w:p>
        </w:tc>
        <w:tc>
          <w:tcPr>
            <w:tcW w:w="1838" w:type="dxa"/>
            <w:tcBorders>
              <w:top w:val="single" w:sz="8" w:space="0" w:color="auto"/>
              <w:bottom w:val="single" w:sz="8" w:space="0" w:color="auto"/>
            </w:tcBorders>
            <w:vAlign w:val="center"/>
          </w:tcPr>
          <w:p w:rsidR="00A54F38" w:rsidRPr="0075114F" w:rsidRDefault="00A54F38" w:rsidP="0083299A">
            <w:pPr>
              <w:spacing w:afterLines="10" w:after="31" w:line="360" w:lineRule="exact"/>
              <w:jc w:val="center"/>
              <w:rPr>
                <w:rFonts w:ascii="黑体" w:eastAsia="黑体" w:hAnsi="黑体" w:cs="Times New Roman"/>
                <w:sz w:val="24"/>
                <w:szCs w:val="24"/>
              </w:rPr>
            </w:pPr>
            <w:r w:rsidRPr="0075114F">
              <w:rPr>
                <w:rFonts w:ascii="黑体" w:eastAsia="黑体" w:hAnsi="黑体" w:cs="Times New Roman"/>
                <w:sz w:val="24"/>
                <w:szCs w:val="24"/>
              </w:rPr>
              <w:t>标准编号</w:t>
            </w:r>
          </w:p>
        </w:tc>
        <w:tc>
          <w:tcPr>
            <w:tcW w:w="2551" w:type="dxa"/>
            <w:tcBorders>
              <w:top w:val="single" w:sz="8" w:space="0" w:color="auto"/>
              <w:bottom w:val="single" w:sz="8" w:space="0" w:color="auto"/>
            </w:tcBorders>
            <w:vAlign w:val="center"/>
          </w:tcPr>
          <w:p w:rsidR="00A54F38" w:rsidRPr="00586C18" w:rsidRDefault="00A54F38" w:rsidP="0083299A">
            <w:pPr>
              <w:spacing w:afterLines="10" w:after="31" w:line="360" w:lineRule="exact"/>
              <w:jc w:val="center"/>
              <w:rPr>
                <w:rFonts w:ascii="黑体" w:eastAsia="黑体" w:hAnsi="黑体" w:cs="Times New Roman"/>
                <w:sz w:val="24"/>
                <w:szCs w:val="24"/>
              </w:rPr>
            </w:pPr>
            <w:r w:rsidRPr="00586C18">
              <w:rPr>
                <w:rFonts w:ascii="黑体" w:eastAsia="黑体" w:hAnsi="黑体" w:cs="Times New Roman"/>
                <w:sz w:val="24"/>
                <w:szCs w:val="24"/>
              </w:rPr>
              <w:t>标准名称</w:t>
            </w:r>
          </w:p>
        </w:tc>
        <w:tc>
          <w:tcPr>
            <w:tcW w:w="9214" w:type="dxa"/>
            <w:tcBorders>
              <w:top w:val="single" w:sz="8" w:space="0" w:color="auto"/>
              <w:bottom w:val="single" w:sz="8" w:space="0" w:color="auto"/>
              <w:right w:val="single" w:sz="8" w:space="0" w:color="auto"/>
            </w:tcBorders>
            <w:vAlign w:val="center"/>
          </w:tcPr>
          <w:p w:rsidR="00A54F38" w:rsidRPr="009F3C23" w:rsidRDefault="00A54F38" w:rsidP="0083299A">
            <w:pPr>
              <w:spacing w:afterLines="10" w:after="31" w:line="360" w:lineRule="exact"/>
              <w:jc w:val="center"/>
              <w:rPr>
                <w:rFonts w:ascii="黑体" w:eastAsia="黑体" w:hAnsi="黑体" w:cs="Times New Roman"/>
                <w:sz w:val="24"/>
                <w:szCs w:val="24"/>
              </w:rPr>
            </w:pPr>
            <w:r w:rsidRPr="009F3C23">
              <w:rPr>
                <w:rFonts w:ascii="黑体" w:eastAsia="黑体" w:hAnsi="黑体" w:cs="Times New Roman"/>
                <w:sz w:val="24"/>
                <w:szCs w:val="24"/>
              </w:rPr>
              <w:t>标准主要内容</w:t>
            </w:r>
          </w:p>
        </w:tc>
      </w:tr>
      <w:tr w:rsidR="00A54F38" w:rsidRPr="006B69FE" w:rsidTr="0083299A">
        <w:trPr>
          <w:trHeight w:val="20"/>
        </w:trPr>
        <w:tc>
          <w:tcPr>
            <w:tcW w:w="714" w:type="dxa"/>
            <w:tcBorders>
              <w:top w:val="single" w:sz="8" w:space="0" w:color="auto"/>
              <w:left w:val="single" w:sz="8" w:space="0" w:color="auto"/>
            </w:tcBorders>
            <w:vAlign w:val="center"/>
          </w:tcPr>
          <w:p w:rsidR="00A54F38" w:rsidRPr="003F1DB8" w:rsidRDefault="00A54F38" w:rsidP="006547A9">
            <w:pPr>
              <w:spacing w:line="340" w:lineRule="exact"/>
              <w:jc w:val="center"/>
              <w:rPr>
                <w:rFonts w:ascii="Times New Roman" w:eastAsia="宋体" w:hAnsi="Times New Roman" w:cs="Times New Roman"/>
                <w:szCs w:val="21"/>
              </w:rPr>
            </w:pPr>
            <w:r w:rsidRPr="003F1DB8">
              <w:rPr>
                <w:rFonts w:ascii="Times New Roman" w:eastAsia="仿宋_GB2312" w:hAnsi="Times New Roman" w:cs="Times New Roman"/>
                <w:b/>
                <w:color w:val="000000" w:themeColor="text1"/>
                <w:kern w:val="0"/>
                <w:szCs w:val="21"/>
                <w:lang w:eastAsia="en-US"/>
              </w:rPr>
              <w:t>1</w:t>
            </w:r>
          </w:p>
        </w:tc>
        <w:tc>
          <w:tcPr>
            <w:tcW w:w="1838" w:type="dxa"/>
            <w:tcBorders>
              <w:top w:val="single" w:sz="8" w:space="0" w:color="auto"/>
              <w:bottom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sidR="00884252">
              <w:rPr>
                <w:rFonts w:ascii="黑体" w:eastAsia="黑体" w:hAnsi="黑体" w:cs="Times New Roman"/>
                <w:color w:val="000000" w:themeColor="text1"/>
                <w:kern w:val="0"/>
                <w:szCs w:val="21"/>
                <w:lang w:eastAsia="en-US"/>
              </w:rPr>
              <w:t>296</w:t>
            </w:r>
            <w:r w:rsidRPr="003F1DB8">
              <w:rPr>
                <w:rFonts w:ascii="黑体" w:eastAsia="黑体" w:hAnsi="黑体" w:cs="Times New Roman"/>
                <w:color w:val="000000" w:themeColor="text1"/>
                <w:kern w:val="0"/>
                <w:szCs w:val="21"/>
                <w:lang w:eastAsia="en-US"/>
              </w:rPr>
              <w:t>—</w:t>
            </w:r>
            <w:r w:rsidR="00884252">
              <w:rPr>
                <w:rFonts w:ascii="黑体" w:eastAsia="黑体" w:hAnsi="黑体" w:cs="Times New Roman"/>
                <w:color w:val="000000" w:themeColor="text1"/>
                <w:kern w:val="0"/>
                <w:szCs w:val="21"/>
                <w:lang w:eastAsia="en-US"/>
              </w:rPr>
              <w:t>2025</w:t>
            </w:r>
          </w:p>
        </w:tc>
        <w:tc>
          <w:tcPr>
            <w:tcW w:w="2551" w:type="dxa"/>
            <w:tcBorders>
              <w:top w:val="single" w:sz="8" w:space="0" w:color="auto"/>
              <w:bottom w:val="single" w:sz="4" w:space="0" w:color="auto"/>
            </w:tcBorders>
            <w:shd w:val="clear" w:color="auto" w:fill="auto"/>
            <w:vAlign w:val="center"/>
          </w:tcPr>
          <w:p w:rsidR="00A54F38" w:rsidRPr="003F1DB8" w:rsidRDefault="00884252" w:rsidP="006547A9">
            <w:pPr>
              <w:spacing w:line="340" w:lineRule="exact"/>
              <w:jc w:val="left"/>
              <w:rPr>
                <w:bCs/>
                <w:szCs w:val="21"/>
              </w:rPr>
            </w:pPr>
            <w:r w:rsidRPr="00884252">
              <w:rPr>
                <w:rFonts w:hint="eastAsia"/>
                <w:bCs/>
                <w:szCs w:val="21"/>
              </w:rPr>
              <w:t>食用菌液体菌种接种机</w:t>
            </w:r>
          </w:p>
        </w:tc>
        <w:tc>
          <w:tcPr>
            <w:tcW w:w="9214" w:type="dxa"/>
            <w:tcBorders>
              <w:top w:val="single" w:sz="8" w:space="0" w:color="auto"/>
              <w:bottom w:val="single" w:sz="4" w:space="0" w:color="auto"/>
              <w:right w:val="single" w:sz="8" w:space="0" w:color="auto"/>
            </w:tcBorders>
            <w:vAlign w:val="center"/>
          </w:tcPr>
          <w:p w:rsidR="00A54F38" w:rsidRPr="003F1DB8" w:rsidRDefault="00884252" w:rsidP="006547A9">
            <w:pPr>
              <w:spacing w:line="340" w:lineRule="exact"/>
              <w:jc w:val="left"/>
              <w:rPr>
                <w:rFonts w:ascii="Times New Roman" w:hAnsi="Times New Roman" w:cs="Times New Roman"/>
                <w:szCs w:val="21"/>
              </w:rPr>
            </w:pPr>
            <w:r w:rsidRPr="00884252">
              <w:rPr>
                <w:rFonts w:ascii="Times New Roman" w:hAnsi="Times New Roman" w:cs="Times New Roman" w:hint="eastAsia"/>
                <w:szCs w:val="21"/>
              </w:rPr>
              <w:t>本文件规定了食用菌液体菌种接种机的术语和定义，产品型号，技术要求，试验方法，检验规则，标志、包装、运输与贮存。本文件适用于食用菌液体菌种接种机。</w:t>
            </w:r>
          </w:p>
        </w:tc>
      </w:tr>
      <w:tr w:rsidR="00A54F38" w:rsidRPr="006B69FE" w:rsidTr="0083299A">
        <w:trPr>
          <w:trHeight w:val="20"/>
        </w:trPr>
        <w:tc>
          <w:tcPr>
            <w:tcW w:w="714" w:type="dxa"/>
            <w:tcBorders>
              <w:left w:val="single" w:sz="8" w:space="0" w:color="auto"/>
            </w:tcBorders>
            <w:vAlign w:val="center"/>
          </w:tcPr>
          <w:p w:rsidR="00A54F38" w:rsidRPr="003F1DB8" w:rsidRDefault="00A54F38" w:rsidP="006547A9">
            <w:pPr>
              <w:spacing w:line="340" w:lineRule="exact"/>
              <w:jc w:val="center"/>
              <w:rPr>
                <w:rFonts w:ascii="Times New Roman" w:eastAsia="宋体" w:hAnsi="Times New Roman" w:cs="Times New Roman"/>
                <w:szCs w:val="21"/>
              </w:rPr>
            </w:pPr>
            <w:r w:rsidRPr="003F1DB8">
              <w:rPr>
                <w:rFonts w:ascii="Times New Roman" w:eastAsia="仿宋_GB2312" w:hAnsi="Times New Roman" w:cs="Times New Roman"/>
                <w:b/>
                <w:color w:val="000000" w:themeColor="text1"/>
                <w:kern w:val="0"/>
                <w:szCs w:val="21"/>
                <w:lang w:eastAsia="en-US"/>
              </w:rPr>
              <w:t>2</w:t>
            </w:r>
          </w:p>
        </w:tc>
        <w:tc>
          <w:tcPr>
            <w:tcW w:w="1838" w:type="dxa"/>
            <w:tcBorders>
              <w:top w:val="single" w:sz="4" w:space="0" w:color="auto"/>
              <w:bottom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sidR="00274D44">
              <w:rPr>
                <w:rFonts w:ascii="黑体" w:eastAsia="黑体" w:hAnsi="黑体" w:cs="Times New Roman"/>
                <w:color w:val="000000" w:themeColor="text1"/>
                <w:kern w:val="0"/>
                <w:szCs w:val="21"/>
                <w:lang w:eastAsia="en-US"/>
              </w:rPr>
              <w:t>377</w:t>
            </w:r>
            <w:r w:rsidRPr="003F1DB8">
              <w:rPr>
                <w:rFonts w:ascii="黑体" w:eastAsia="黑体" w:hAnsi="黑体" w:cs="Times New Roman"/>
                <w:color w:val="000000" w:themeColor="text1"/>
                <w:kern w:val="0"/>
                <w:szCs w:val="21"/>
                <w:lang w:eastAsia="en-US"/>
              </w:rPr>
              <w:t>—</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bottom w:val="single" w:sz="4" w:space="0" w:color="auto"/>
            </w:tcBorders>
            <w:shd w:val="clear" w:color="auto" w:fill="auto"/>
            <w:vAlign w:val="center"/>
          </w:tcPr>
          <w:p w:rsidR="00A54F38" w:rsidRPr="003F1DB8" w:rsidRDefault="00274D44" w:rsidP="006547A9">
            <w:pPr>
              <w:spacing w:line="340" w:lineRule="exact"/>
              <w:jc w:val="left"/>
              <w:rPr>
                <w:bCs/>
                <w:szCs w:val="21"/>
              </w:rPr>
            </w:pPr>
            <w:r w:rsidRPr="00274D44">
              <w:rPr>
                <w:rFonts w:hint="eastAsia"/>
                <w:bCs/>
                <w:szCs w:val="21"/>
              </w:rPr>
              <w:t>茭白收获机</w:t>
            </w:r>
          </w:p>
        </w:tc>
        <w:tc>
          <w:tcPr>
            <w:tcW w:w="9214" w:type="dxa"/>
            <w:tcBorders>
              <w:top w:val="single" w:sz="5" w:space="0" w:color="000000"/>
              <w:left w:val="single" w:sz="5" w:space="0" w:color="000000"/>
              <w:bottom w:val="single" w:sz="5" w:space="0" w:color="000000"/>
              <w:right w:val="single" w:sz="8" w:space="0" w:color="auto"/>
            </w:tcBorders>
            <w:vAlign w:val="center"/>
          </w:tcPr>
          <w:p w:rsidR="00A54F38" w:rsidRPr="003F1DB8" w:rsidRDefault="00274D44" w:rsidP="006547A9">
            <w:pPr>
              <w:pStyle w:val="af4"/>
              <w:spacing w:line="340" w:lineRule="exact"/>
              <w:jc w:val="left"/>
              <w:rPr>
                <w:rFonts w:hAnsi="宋体"/>
                <w:szCs w:val="21"/>
              </w:rPr>
            </w:pPr>
            <w:r w:rsidRPr="00274D44">
              <w:rPr>
                <w:rFonts w:hAnsi="宋体" w:hint="eastAsia"/>
                <w:szCs w:val="21"/>
              </w:rPr>
              <w:t>本文件规定了茭白收获机的术语和定义、产品型号、技术要求、试验方法、检验规则、标志、包装、运输和贮存。本文件适用于自走式履带茭白收获机，其他型式茭白收获机参照执行。</w:t>
            </w:r>
          </w:p>
        </w:tc>
      </w:tr>
      <w:tr w:rsidR="00A54F38" w:rsidRPr="006B69FE" w:rsidTr="0083299A">
        <w:trPr>
          <w:trHeight w:val="20"/>
        </w:trPr>
        <w:tc>
          <w:tcPr>
            <w:tcW w:w="714" w:type="dxa"/>
            <w:tcBorders>
              <w:left w:val="single" w:sz="8" w:space="0" w:color="auto"/>
            </w:tcBorders>
            <w:vAlign w:val="center"/>
          </w:tcPr>
          <w:p w:rsidR="00A54F38" w:rsidRPr="003F1DB8" w:rsidRDefault="00A54F38" w:rsidP="006547A9">
            <w:pPr>
              <w:spacing w:line="340" w:lineRule="exact"/>
              <w:jc w:val="center"/>
              <w:rPr>
                <w:rFonts w:ascii="Times New Roman" w:eastAsia="宋体" w:hAnsi="Times New Roman" w:cs="Times New Roman"/>
                <w:szCs w:val="21"/>
              </w:rPr>
            </w:pPr>
            <w:r w:rsidRPr="003F1DB8">
              <w:rPr>
                <w:rFonts w:ascii="Times New Roman" w:eastAsia="仿宋_GB2312" w:hAnsi="Times New Roman" w:cs="Times New Roman"/>
                <w:b/>
                <w:color w:val="000000" w:themeColor="text1"/>
                <w:kern w:val="0"/>
                <w:szCs w:val="21"/>
                <w:lang w:eastAsia="en-US"/>
              </w:rPr>
              <w:t>3</w:t>
            </w:r>
          </w:p>
        </w:tc>
        <w:tc>
          <w:tcPr>
            <w:tcW w:w="1838" w:type="dxa"/>
            <w:tcBorders>
              <w:top w:val="single" w:sz="4" w:space="0" w:color="auto"/>
              <w:bottom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微软雅黑" w:eastAsia="微软雅黑" w:hAnsi="微软雅黑" w:cs="Times New Roman"/>
                <w:color w:val="000000" w:themeColor="text1"/>
                <w:kern w:val="0"/>
                <w:szCs w:val="21"/>
                <w:lang w:eastAsia="en-US"/>
              </w:rPr>
              <w:t>1</w:t>
            </w:r>
            <w:r w:rsidRPr="003F1DB8">
              <w:rPr>
                <w:rFonts w:ascii="黑体" w:eastAsia="黑体" w:hAnsi="黑体" w:cs="Times New Roman"/>
                <w:color w:val="000000" w:themeColor="text1"/>
                <w:kern w:val="0"/>
                <w:szCs w:val="21"/>
                <w:lang w:eastAsia="en-US"/>
              </w:rPr>
              <w:t>4</w:t>
            </w:r>
            <w:r w:rsidR="006E5D38">
              <w:rPr>
                <w:rFonts w:ascii="黑体" w:eastAsia="黑体" w:hAnsi="黑体" w:cs="Times New Roman"/>
                <w:color w:val="000000" w:themeColor="text1"/>
                <w:kern w:val="0"/>
                <w:szCs w:val="21"/>
                <w:lang w:eastAsia="en-US"/>
              </w:rPr>
              <w:t>3</w:t>
            </w:r>
            <w:r w:rsidRPr="003F1DB8">
              <w:rPr>
                <w:rFonts w:ascii="黑体" w:eastAsia="黑体" w:hAnsi="黑体" w:cs="Times New Roman"/>
                <w:color w:val="000000" w:themeColor="text1"/>
                <w:kern w:val="0"/>
                <w:szCs w:val="21"/>
                <w:lang w:eastAsia="en-US"/>
              </w:rPr>
              <w:t>5—</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bottom w:val="single" w:sz="4" w:space="0" w:color="auto"/>
            </w:tcBorders>
            <w:shd w:val="clear" w:color="auto" w:fill="auto"/>
            <w:vAlign w:val="center"/>
          </w:tcPr>
          <w:p w:rsidR="00A54F38" w:rsidRPr="003F1DB8" w:rsidRDefault="00892EF1" w:rsidP="006547A9">
            <w:pPr>
              <w:pStyle w:val="af4"/>
              <w:spacing w:line="340" w:lineRule="exact"/>
              <w:jc w:val="left"/>
              <w:rPr>
                <w:bCs/>
                <w:szCs w:val="21"/>
              </w:rPr>
            </w:pPr>
            <w:r w:rsidRPr="00892EF1">
              <w:rPr>
                <w:rFonts w:asciiTheme="minorEastAsia" w:eastAsiaTheme="minorEastAsia" w:hAnsiTheme="minorEastAsia" w:hint="eastAsia"/>
                <w:szCs w:val="21"/>
              </w:rPr>
              <w:t>猪场数字化液态饲喂系统</w:t>
            </w:r>
          </w:p>
        </w:tc>
        <w:tc>
          <w:tcPr>
            <w:tcW w:w="9214" w:type="dxa"/>
            <w:tcBorders>
              <w:top w:val="single" w:sz="5" w:space="0" w:color="000000"/>
              <w:left w:val="single" w:sz="5" w:space="0" w:color="000000"/>
              <w:bottom w:val="single" w:sz="5" w:space="0" w:color="000000"/>
              <w:right w:val="single" w:sz="8" w:space="0" w:color="auto"/>
            </w:tcBorders>
            <w:vAlign w:val="center"/>
          </w:tcPr>
          <w:p w:rsidR="00A54F38" w:rsidRPr="003F1DB8" w:rsidRDefault="00892EF1" w:rsidP="006547A9">
            <w:pPr>
              <w:pStyle w:val="af4"/>
              <w:spacing w:line="340" w:lineRule="exact"/>
              <w:jc w:val="left"/>
              <w:rPr>
                <w:rFonts w:asciiTheme="minorEastAsia" w:eastAsiaTheme="minorEastAsia" w:hAnsiTheme="minorEastAsia"/>
                <w:szCs w:val="21"/>
              </w:rPr>
            </w:pPr>
            <w:r w:rsidRPr="00892EF1">
              <w:rPr>
                <w:rFonts w:asciiTheme="minorEastAsia" w:eastAsiaTheme="minorEastAsia" w:hAnsiTheme="minorEastAsia" w:hint="eastAsia"/>
                <w:szCs w:val="21"/>
              </w:rPr>
              <w:t>本文件规定了猪场数字化液态饲喂系统的术语和定义、产品型号、技术要求、试验方法、检验规则、标志、包装、运输和贮存。本文件适用于猪场数字化液态饲喂系统的设计、制造、安装和检验。</w:t>
            </w:r>
          </w:p>
        </w:tc>
      </w:tr>
      <w:tr w:rsidR="00A54F38" w:rsidRPr="006B69FE" w:rsidTr="006E5D38">
        <w:trPr>
          <w:trHeight w:val="20"/>
        </w:trPr>
        <w:tc>
          <w:tcPr>
            <w:tcW w:w="714" w:type="dxa"/>
            <w:tcBorders>
              <w:left w:val="single" w:sz="8" w:space="0" w:color="auto"/>
              <w:bottom w:val="single" w:sz="4" w:space="0" w:color="auto"/>
              <w:right w:val="single" w:sz="4" w:space="0" w:color="auto"/>
            </w:tcBorders>
            <w:vAlign w:val="center"/>
          </w:tcPr>
          <w:p w:rsidR="00A54F38" w:rsidRPr="003F1DB8" w:rsidRDefault="00A54F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4</w:t>
            </w:r>
          </w:p>
        </w:tc>
        <w:tc>
          <w:tcPr>
            <w:tcW w:w="1838" w:type="dxa"/>
            <w:tcBorders>
              <w:top w:val="single" w:sz="4" w:space="0" w:color="auto"/>
              <w:left w:val="single" w:sz="4" w:space="0" w:color="auto"/>
              <w:bottom w:val="single" w:sz="4" w:space="0" w:color="auto"/>
              <w:right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14</w:t>
            </w:r>
            <w:r w:rsidR="006E5D38">
              <w:rPr>
                <w:rFonts w:ascii="黑体" w:eastAsia="黑体" w:hAnsi="黑体" w:cs="Times New Roman"/>
                <w:color w:val="000000" w:themeColor="text1"/>
                <w:kern w:val="0"/>
                <w:szCs w:val="21"/>
                <w:lang w:eastAsia="en-US"/>
              </w:rPr>
              <w:t>44</w:t>
            </w:r>
            <w:r w:rsidRPr="003F1DB8">
              <w:rPr>
                <w:rFonts w:ascii="黑体" w:eastAsia="黑体" w:hAnsi="黑体" w:cs="Times New Roman"/>
                <w:color w:val="000000" w:themeColor="text1"/>
                <w:kern w:val="0"/>
                <w:szCs w:val="21"/>
                <w:lang w:eastAsia="en-US"/>
              </w:rPr>
              <w:t>—</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54F38" w:rsidRPr="003F1DB8" w:rsidRDefault="00567FD5" w:rsidP="006547A9">
            <w:pPr>
              <w:spacing w:line="340" w:lineRule="exact"/>
              <w:jc w:val="left"/>
              <w:rPr>
                <w:bCs/>
                <w:szCs w:val="21"/>
              </w:rPr>
            </w:pPr>
            <w:r w:rsidRPr="00567FD5">
              <w:rPr>
                <w:rFonts w:ascii="宋体" w:hAnsi="宋体" w:cs="宋体" w:hint="eastAsia"/>
                <w:szCs w:val="21"/>
              </w:rPr>
              <w:t>移动式水肥一体化设备</w:t>
            </w:r>
          </w:p>
        </w:tc>
        <w:tc>
          <w:tcPr>
            <w:tcW w:w="9214" w:type="dxa"/>
            <w:tcBorders>
              <w:top w:val="single" w:sz="5" w:space="0" w:color="000000"/>
              <w:left w:val="single" w:sz="4" w:space="0" w:color="auto"/>
              <w:bottom w:val="single" w:sz="4" w:space="0" w:color="auto"/>
              <w:right w:val="single" w:sz="8" w:space="0" w:color="auto"/>
            </w:tcBorders>
            <w:vAlign w:val="center"/>
          </w:tcPr>
          <w:p w:rsidR="00A54F38" w:rsidRPr="003F1DB8" w:rsidRDefault="00567FD5" w:rsidP="006547A9">
            <w:pPr>
              <w:spacing w:line="340" w:lineRule="exact"/>
              <w:jc w:val="left"/>
              <w:rPr>
                <w:rFonts w:ascii="宋体" w:hAnsi="宋体" w:cs="宋体"/>
                <w:szCs w:val="21"/>
              </w:rPr>
            </w:pPr>
            <w:r w:rsidRPr="00567FD5">
              <w:rPr>
                <w:rFonts w:ascii="宋体" w:hAnsi="宋体" w:cs="宋体" w:hint="eastAsia"/>
                <w:szCs w:val="21"/>
              </w:rPr>
              <w:t>本文件规定了移动式水肥一体化设备的产品型号和技术要求，描述了相应的试验方法，规定了检验规则、标志、包装、运输和贮存。本文件适用于以柴油机或电动机为动力，在水质较差、泥沙含量较高沿河流域使用的牵引移动式水肥一体化设备的制造。</w:t>
            </w:r>
          </w:p>
        </w:tc>
      </w:tr>
      <w:tr w:rsidR="00A54F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A54F38" w:rsidRPr="003F1DB8" w:rsidRDefault="00A54F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5</w:t>
            </w:r>
          </w:p>
        </w:tc>
        <w:tc>
          <w:tcPr>
            <w:tcW w:w="1838" w:type="dxa"/>
            <w:tcBorders>
              <w:top w:val="single" w:sz="4" w:space="0" w:color="auto"/>
              <w:left w:val="single" w:sz="4" w:space="0" w:color="auto"/>
              <w:bottom w:val="single" w:sz="4" w:space="0" w:color="auto"/>
              <w:right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14</w:t>
            </w:r>
            <w:r w:rsidR="006E5D38">
              <w:rPr>
                <w:rFonts w:ascii="黑体" w:eastAsia="黑体" w:hAnsi="黑体" w:cs="Times New Roman"/>
                <w:color w:val="000000" w:themeColor="text1"/>
                <w:kern w:val="0"/>
                <w:szCs w:val="21"/>
                <w:lang w:eastAsia="en-US"/>
              </w:rPr>
              <w:t>47</w:t>
            </w:r>
            <w:r w:rsidRPr="003F1DB8">
              <w:rPr>
                <w:rFonts w:ascii="黑体" w:eastAsia="黑体" w:hAnsi="黑体" w:cs="Times New Roman"/>
                <w:color w:val="000000" w:themeColor="text1"/>
                <w:kern w:val="0"/>
                <w:szCs w:val="21"/>
                <w:lang w:eastAsia="en-US"/>
              </w:rPr>
              <w:t>—</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54F38" w:rsidRPr="003F1DB8" w:rsidRDefault="0000655B" w:rsidP="006547A9">
            <w:pPr>
              <w:pStyle w:val="af0"/>
              <w:spacing w:line="340" w:lineRule="exact"/>
              <w:ind w:firstLineChars="0" w:firstLine="0"/>
              <w:jc w:val="left"/>
              <w:rPr>
                <w:rFonts w:asciiTheme="minorEastAsia" w:hAnsiTheme="minorEastAsia"/>
                <w:color w:val="000000"/>
                <w:kern w:val="0"/>
                <w:szCs w:val="21"/>
              </w:rPr>
            </w:pPr>
            <w:r w:rsidRPr="0000655B">
              <w:rPr>
                <w:rFonts w:ascii="Times New Roman" w:hint="eastAsia"/>
                <w:szCs w:val="21"/>
              </w:rPr>
              <w:t>铰接式农业机械</w:t>
            </w:r>
            <w:r w:rsidRPr="0000655B">
              <w:rPr>
                <w:rFonts w:ascii="Times New Roman" w:hint="eastAsia"/>
                <w:szCs w:val="21"/>
              </w:rPr>
              <w:t xml:space="preserve">  </w:t>
            </w:r>
            <w:r w:rsidRPr="0000655B">
              <w:rPr>
                <w:rFonts w:ascii="Times New Roman" w:hint="eastAsia"/>
                <w:szCs w:val="21"/>
              </w:rPr>
              <w:t>动力主模块</w:t>
            </w:r>
            <w:r w:rsidRPr="0000655B">
              <w:rPr>
                <w:rFonts w:ascii="Times New Roman" w:hint="eastAsia"/>
                <w:szCs w:val="21"/>
              </w:rPr>
              <w:t xml:space="preserve">  </w:t>
            </w:r>
            <w:r w:rsidRPr="0000655B">
              <w:rPr>
                <w:rFonts w:ascii="Times New Roman" w:hint="eastAsia"/>
                <w:szCs w:val="21"/>
              </w:rPr>
              <w:t>通用技术规范</w:t>
            </w:r>
          </w:p>
        </w:tc>
        <w:tc>
          <w:tcPr>
            <w:tcW w:w="9214" w:type="dxa"/>
            <w:tcBorders>
              <w:top w:val="single" w:sz="4" w:space="0" w:color="auto"/>
              <w:left w:val="single" w:sz="4" w:space="0" w:color="auto"/>
              <w:bottom w:val="single" w:sz="4" w:space="0" w:color="auto"/>
              <w:right w:val="single" w:sz="8" w:space="0" w:color="auto"/>
            </w:tcBorders>
            <w:vAlign w:val="center"/>
          </w:tcPr>
          <w:p w:rsidR="00A54F38" w:rsidRPr="003F1DB8" w:rsidRDefault="0000655B" w:rsidP="006547A9">
            <w:pPr>
              <w:pStyle w:val="af0"/>
              <w:spacing w:line="340" w:lineRule="exact"/>
              <w:ind w:firstLineChars="0" w:firstLine="0"/>
              <w:jc w:val="left"/>
              <w:rPr>
                <w:rFonts w:ascii="Times New Roman"/>
                <w:szCs w:val="21"/>
              </w:rPr>
            </w:pPr>
            <w:r w:rsidRPr="0000655B">
              <w:rPr>
                <w:rFonts w:ascii="Times New Roman" w:hint="eastAsia"/>
                <w:szCs w:val="21"/>
              </w:rPr>
              <w:t>本文件规定了动力主模块的术语和定义，技术要求，试验方法，检验规则，交货、标志、运输和贮存。本文件适用于发动机标定功率不大于</w:t>
            </w:r>
            <w:r w:rsidRPr="0000655B">
              <w:rPr>
                <w:rFonts w:ascii="Times New Roman" w:hint="eastAsia"/>
                <w:szCs w:val="21"/>
              </w:rPr>
              <w:t>100 kW</w:t>
            </w:r>
            <w:r w:rsidRPr="0000655B">
              <w:rPr>
                <w:rFonts w:ascii="Times New Roman" w:hint="eastAsia"/>
                <w:szCs w:val="21"/>
              </w:rPr>
              <w:t>的铰接式农业机械的动力主模块的设计与制造。</w:t>
            </w:r>
          </w:p>
        </w:tc>
      </w:tr>
      <w:tr w:rsidR="00A54F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A54F38" w:rsidRPr="003F1DB8" w:rsidRDefault="00A54F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6</w:t>
            </w:r>
          </w:p>
        </w:tc>
        <w:tc>
          <w:tcPr>
            <w:tcW w:w="1838" w:type="dxa"/>
            <w:tcBorders>
              <w:top w:val="single" w:sz="4" w:space="0" w:color="auto"/>
              <w:left w:val="single" w:sz="4" w:space="0" w:color="auto"/>
              <w:bottom w:val="single" w:sz="4" w:space="0" w:color="auto"/>
              <w:right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14</w:t>
            </w:r>
            <w:r w:rsidR="006E5D38">
              <w:rPr>
                <w:rFonts w:ascii="黑体" w:eastAsia="黑体" w:hAnsi="黑体" w:cs="Times New Roman"/>
                <w:color w:val="000000" w:themeColor="text1"/>
                <w:kern w:val="0"/>
                <w:szCs w:val="21"/>
                <w:lang w:eastAsia="en-US"/>
              </w:rPr>
              <w:t>4</w:t>
            </w:r>
            <w:r w:rsidRPr="003F1DB8">
              <w:rPr>
                <w:rFonts w:ascii="黑体" w:eastAsia="黑体" w:hAnsi="黑体" w:cs="Times New Roman"/>
                <w:color w:val="000000" w:themeColor="text1"/>
                <w:kern w:val="0"/>
                <w:szCs w:val="21"/>
                <w:lang w:eastAsia="en-US"/>
              </w:rPr>
              <w:t>9—</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54F38" w:rsidRPr="003F1DB8" w:rsidRDefault="004E0779" w:rsidP="006547A9">
            <w:pPr>
              <w:spacing w:line="340" w:lineRule="exact"/>
              <w:jc w:val="left"/>
              <w:rPr>
                <w:bCs/>
                <w:szCs w:val="21"/>
              </w:rPr>
            </w:pPr>
            <w:r w:rsidRPr="004E0779">
              <w:rPr>
                <w:rFonts w:hint="eastAsia"/>
                <w:szCs w:val="21"/>
              </w:rPr>
              <w:t>铰接式农业机械</w:t>
            </w:r>
            <w:r w:rsidRPr="004E0779">
              <w:rPr>
                <w:rFonts w:hint="eastAsia"/>
                <w:szCs w:val="21"/>
              </w:rPr>
              <w:t xml:space="preserve">  </w:t>
            </w:r>
            <w:r w:rsidRPr="004E0779">
              <w:rPr>
                <w:rFonts w:hint="eastAsia"/>
                <w:szCs w:val="21"/>
              </w:rPr>
              <w:t>动力主模块与功能模块接口</w:t>
            </w:r>
            <w:r w:rsidRPr="004E0779">
              <w:rPr>
                <w:rFonts w:hint="eastAsia"/>
                <w:szCs w:val="21"/>
              </w:rPr>
              <w:t xml:space="preserve">  </w:t>
            </w:r>
            <w:r w:rsidRPr="004E0779">
              <w:rPr>
                <w:rFonts w:hint="eastAsia"/>
                <w:szCs w:val="21"/>
              </w:rPr>
              <w:t>技术规范</w:t>
            </w:r>
          </w:p>
        </w:tc>
        <w:tc>
          <w:tcPr>
            <w:tcW w:w="9214" w:type="dxa"/>
            <w:tcBorders>
              <w:top w:val="single" w:sz="4" w:space="0" w:color="auto"/>
              <w:left w:val="single" w:sz="4" w:space="0" w:color="auto"/>
              <w:bottom w:val="single" w:sz="4" w:space="0" w:color="auto"/>
              <w:right w:val="single" w:sz="8" w:space="0" w:color="auto"/>
            </w:tcBorders>
            <w:vAlign w:val="center"/>
          </w:tcPr>
          <w:p w:rsidR="00A54F38" w:rsidRPr="003F1DB8" w:rsidRDefault="004E0779" w:rsidP="006547A9">
            <w:pPr>
              <w:pStyle w:val="af0"/>
              <w:spacing w:line="340" w:lineRule="exact"/>
              <w:ind w:firstLineChars="0" w:firstLine="0"/>
              <w:jc w:val="left"/>
              <w:rPr>
                <w:szCs w:val="21"/>
              </w:rPr>
            </w:pPr>
            <w:r w:rsidRPr="004E0779">
              <w:rPr>
                <w:rFonts w:hint="eastAsia"/>
                <w:szCs w:val="21"/>
              </w:rPr>
              <w:t>本文件规定了动力主模块与功能模块硬件接口的术语和定义、技术要求和检验方法。本文件适用于发动机标定功率不大于100 kW铰接式农业机械的动力主模块与功能模块接口的制造。</w:t>
            </w:r>
          </w:p>
        </w:tc>
      </w:tr>
      <w:tr w:rsidR="00A54F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A54F38" w:rsidRPr="003F1DB8" w:rsidRDefault="00A54F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7</w:t>
            </w:r>
          </w:p>
        </w:tc>
        <w:tc>
          <w:tcPr>
            <w:tcW w:w="1838" w:type="dxa"/>
            <w:tcBorders>
              <w:top w:val="single" w:sz="4" w:space="0" w:color="auto"/>
              <w:left w:val="single" w:sz="4" w:space="0" w:color="auto"/>
              <w:bottom w:val="single" w:sz="4" w:space="0" w:color="auto"/>
              <w:right w:val="single" w:sz="4" w:space="0" w:color="auto"/>
            </w:tcBorders>
            <w:vAlign w:val="center"/>
          </w:tcPr>
          <w:p w:rsidR="00A54F38" w:rsidRPr="003F1DB8" w:rsidRDefault="00A54F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T/NJ</w:t>
            </w:r>
            <w:r w:rsidRPr="003F1DB8">
              <w:rPr>
                <w:rFonts w:ascii="Times New Roman" w:eastAsia="黑体" w:hAnsi="Times New Roman" w:cs="Times New Roman"/>
                <w:color w:val="000000" w:themeColor="text1"/>
                <w:kern w:val="0"/>
                <w:szCs w:val="21"/>
                <w:lang w:eastAsia="en-US"/>
              </w:rPr>
              <w:t xml:space="preserve"> </w:t>
            </w:r>
            <w:r w:rsidRPr="003F1DB8">
              <w:rPr>
                <w:rFonts w:ascii="黑体" w:eastAsia="黑体" w:hAnsi="黑体" w:cs="Times New Roman"/>
                <w:color w:val="000000" w:themeColor="text1"/>
                <w:kern w:val="0"/>
                <w:szCs w:val="21"/>
                <w:lang w:eastAsia="en-US"/>
              </w:rPr>
              <w:t>1</w:t>
            </w:r>
            <w:r w:rsidR="006E5D38">
              <w:rPr>
                <w:rFonts w:ascii="黑体" w:eastAsia="黑体" w:hAnsi="黑体" w:cs="Times New Roman"/>
                <w:color w:val="000000" w:themeColor="text1"/>
                <w:kern w:val="0"/>
                <w:szCs w:val="21"/>
                <w:lang w:eastAsia="en-US"/>
              </w:rPr>
              <w:t>451</w:t>
            </w:r>
            <w:r w:rsidRPr="003F1DB8">
              <w:rPr>
                <w:rFonts w:ascii="黑体" w:eastAsia="黑体" w:hAnsi="黑体" w:cs="Times New Roman"/>
                <w:color w:val="000000" w:themeColor="text1"/>
                <w:kern w:val="0"/>
                <w:szCs w:val="21"/>
                <w:lang w:eastAsia="en-US"/>
              </w:rPr>
              <w:t>—</w:t>
            </w:r>
            <w:r w:rsidR="00884252">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54F38" w:rsidRPr="003F1DB8" w:rsidRDefault="009B71BE" w:rsidP="006547A9">
            <w:pPr>
              <w:spacing w:line="340" w:lineRule="exact"/>
              <w:jc w:val="left"/>
              <w:rPr>
                <w:bCs/>
                <w:szCs w:val="21"/>
              </w:rPr>
            </w:pPr>
            <w:r w:rsidRPr="009B71BE">
              <w:rPr>
                <w:rFonts w:ascii="Times New Roman" w:hAnsi="Times New Roman" w:hint="eastAsia"/>
                <w:color w:val="000000"/>
                <w:szCs w:val="21"/>
              </w:rPr>
              <w:t>甘蔗除杂设备</w:t>
            </w:r>
          </w:p>
        </w:tc>
        <w:tc>
          <w:tcPr>
            <w:tcW w:w="9214" w:type="dxa"/>
            <w:tcBorders>
              <w:top w:val="single" w:sz="4" w:space="0" w:color="auto"/>
              <w:left w:val="single" w:sz="4" w:space="0" w:color="auto"/>
              <w:bottom w:val="single" w:sz="4" w:space="0" w:color="auto"/>
              <w:right w:val="single" w:sz="8" w:space="0" w:color="auto"/>
            </w:tcBorders>
            <w:vAlign w:val="center"/>
          </w:tcPr>
          <w:p w:rsidR="00A54F38" w:rsidRPr="003F1DB8" w:rsidRDefault="009B71BE" w:rsidP="006547A9">
            <w:pPr>
              <w:spacing w:line="340" w:lineRule="exact"/>
              <w:jc w:val="left"/>
              <w:rPr>
                <w:rFonts w:ascii="Times New Roman" w:hAnsi="Times New Roman"/>
                <w:color w:val="000000"/>
                <w:szCs w:val="21"/>
              </w:rPr>
            </w:pPr>
            <w:r w:rsidRPr="009B71BE">
              <w:rPr>
                <w:rFonts w:ascii="Times New Roman" w:hAnsi="Times New Roman" w:hint="eastAsia"/>
                <w:color w:val="000000"/>
                <w:szCs w:val="21"/>
              </w:rPr>
              <w:t>本文件规定了甘蔗除杂设备的术语和定义、技术要求、试验方法、检验规则、标志、包装、运输和贮存。本文件适用于甘蔗除杂设备的设计与制造。</w:t>
            </w:r>
          </w:p>
        </w:tc>
      </w:tr>
      <w:tr w:rsidR="006E5D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8</w:t>
            </w:r>
          </w:p>
        </w:tc>
        <w:tc>
          <w:tcPr>
            <w:tcW w:w="1838" w:type="dxa"/>
            <w:tcBorders>
              <w:top w:val="single" w:sz="4" w:space="0" w:color="auto"/>
              <w:left w:val="single" w:sz="4" w:space="0" w:color="auto"/>
              <w:bottom w:val="single" w:sz="4" w:space="0" w:color="auto"/>
              <w:right w:val="single" w:sz="4" w:space="0" w:color="auto"/>
            </w:tcBorders>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T/NJ</w:t>
            </w:r>
            <w:r w:rsidRPr="003F1DB8">
              <w:rPr>
                <w:rFonts w:ascii="Times New Roman" w:eastAsia="黑体" w:hAnsi="Times New Roman" w:cs="Times New Roman"/>
                <w:b/>
                <w:color w:val="000000" w:themeColor="text1"/>
                <w:kern w:val="0"/>
                <w:szCs w:val="21"/>
                <w:lang w:eastAsia="en-US"/>
              </w:rPr>
              <w:t xml:space="preserve">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459</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5D38" w:rsidRPr="003F1DB8" w:rsidRDefault="00D6623C" w:rsidP="006547A9">
            <w:pPr>
              <w:spacing w:line="340" w:lineRule="exact"/>
              <w:jc w:val="left"/>
              <w:rPr>
                <w:bCs/>
                <w:szCs w:val="21"/>
              </w:rPr>
            </w:pPr>
            <w:r w:rsidRPr="00D6623C">
              <w:rPr>
                <w:rFonts w:hint="eastAsia"/>
                <w:szCs w:val="21"/>
              </w:rPr>
              <w:t>乘坐式水稻插秧机产品质量分等</w:t>
            </w:r>
          </w:p>
        </w:tc>
        <w:tc>
          <w:tcPr>
            <w:tcW w:w="9214" w:type="dxa"/>
            <w:tcBorders>
              <w:top w:val="single" w:sz="4" w:space="0" w:color="auto"/>
              <w:left w:val="single" w:sz="4" w:space="0" w:color="auto"/>
              <w:bottom w:val="single" w:sz="4" w:space="0" w:color="auto"/>
              <w:right w:val="single" w:sz="8" w:space="0" w:color="auto"/>
            </w:tcBorders>
            <w:vAlign w:val="center"/>
          </w:tcPr>
          <w:p w:rsidR="006E5D38" w:rsidRPr="003F1DB8" w:rsidRDefault="00D6623C" w:rsidP="006547A9">
            <w:pPr>
              <w:spacing w:line="340" w:lineRule="exact"/>
              <w:jc w:val="left"/>
              <w:rPr>
                <w:szCs w:val="21"/>
              </w:rPr>
            </w:pPr>
            <w:r w:rsidRPr="00D6623C">
              <w:rPr>
                <w:rFonts w:hint="eastAsia"/>
                <w:szCs w:val="21"/>
              </w:rPr>
              <w:t>本文件规定了乘坐式水稻插秧机的术语和定义、质量分等指标、试验方法、检验规则和质量等级标识。本文件适用于乘坐式水稻插秧机的产品质量分等。</w:t>
            </w:r>
          </w:p>
        </w:tc>
      </w:tr>
      <w:tr w:rsidR="006E5D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9</w:t>
            </w:r>
          </w:p>
        </w:tc>
        <w:tc>
          <w:tcPr>
            <w:tcW w:w="1838" w:type="dxa"/>
            <w:tcBorders>
              <w:top w:val="single" w:sz="4" w:space="0" w:color="auto"/>
              <w:left w:val="single" w:sz="4" w:space="0" w:color="auto"/>
              <w:bottom w:val="single" w:sz="4" w:space="0" w:color="auto"/>
              <w:right w:val="single" w:sz="4" w:space="0" w:color="auto"/>
            </w:tcBorders>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T/NJ</w:t>
            </w:r>
            <w:r w:rsidRPr="003F1DB8">
              <w:rPr>
                <w:rFonts w:ascii="Times New Roman" w:eastAsia="黑体" w:hAnsi="Times New Roman" w:cs="Times New Roman"/>
                <w:b/>
                <w:color w:val="000000" w:themeColor="text1"/>
                <w:kern w:val="0"/>
                <w:szCs w:val="21"/>
                <w:lang w:eastAsia="en-US"/>
              </w:rPr>
              <w:t xml:space="preserve">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464</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5D38" w:rsidRPr="003F1DB8" w:rsidRDefault="00515031" w:rsidP="006547A9">
            <w:pPr>
              <w:spacing w:line="340" w:lineRule="exact"/>
              <w:jc w:val="left"/>
              <w:rPr>
                <w:bCs/>
                <w:szCs w:val="21"/>
              </w:rPr>
            </w:pPr>
            <w:r w:rsidRPr="00515031">
              <w:rPr>
                <w:rFonts w:hint="eastAsia"/>
                <w:kern w:val="0"/>
                <w:szCs w:val="21"/>
              </w:rPr>
              <w:t>移动式秸秆捡拾制粒联合作业机</w:t>
            </w:r>
          </w:p>
        </w:tc>
        <w:tc>
          <w:tcPr>
            <w:tcW w:w="9214" w:type="dxa"/>
            <w:tcBorders>
              <w:top w:val="single" w:sz="4" w:space="0" w:color="auto"/>
              <w:left w:val="single" w:sz="4" w:space="0" w:color="auto"/>
              <w:bottom w:val="single" w:sz="4" w:space="0" w:color="auto"/>
              <w:right w:val="single" w:sz="8" w:space="0" w:color="auto"/>
            </w:tcBorders>
            <w:vAlign w:val="center"/>
          </w:tcPr>
          <w:p w:rsidR="006E5D38" w:rsidRPr="003F1DB8" w:rsidRDefault="00515031" w:rsidP="006547A9">
            <w:pPr>
              <w:widowControl/>
              <w:tabs>
                <w:tab w:val="center" w:pos="4201"/>
                <w:tab w:val="right" w:leader="dot" w:pos="9298"/>
              </w:tabs>
              <w:autoSpaceDE w:val="0"/>
              <w:autoSpaceDN w:val="0"/>
              <w:spacing w:line="340" w:lineRule="exact"/>
              <w:jc w:val="left"/>
              <w:rPr>
                <w:kern w:val="0"/>
                <w:szCs w:val="21"/>
              </w:rPr>
            </w:pPr>
            <w:r w:rsidRPr="00515031">
              <w:rPr>
                <w:rFonts w:hint="eastAsia"/>
                <w:kern w:val="0"/>
                <w:szCs w:val="21"/>
              </w:rPr>
              <w:t>本文件规定了移动式秸秆捡拾制粒联合作业机的术语和定义、产品型号与基本参数、技术要求、试验方法、检验规则、标志、包装、运输和贮存。本文件适用于自走式和牵引式秸秆捡拾环模制粒联合作业机的设计和制造</w:t>
            </w:r>
          </w:p>
        </w:tc>
      </w:tr>
      <w:tr w:rsidR="006E5D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0</w:t>
            </w:r>
          </w:p>
        </w:tc>
        <w:tc>
          <w:tcPr>
            <w:tcW w:w="1838" w:type="dxa"/>
            <w:tcBorders>
              <w:top w:val="single" w:sz="4" w:space="0" w:color="auto"/>
              <w:left w:val="single" w:sz="4" w:space="0" w:color="auto"/>
              <w:bottom w:val="single" w:sz="4" w:space="0" w:color="auto"/>
              <w:right w:val="single" w:sz="4" w:space="0" w:color="auto"/>
            </w:tcBorders>
            <w:vAlign w:val="center"/>
          </w:tcPr>
          <w:p w:rsidR="006E5D38" w:rsidRPr="003F1DB8" w:rsidRDefault="006E5D38" w:rsidP="006547A9">
            <w:pPr>
              <w:spacing w:line="340" w:lineRule="exact"/>
              <w:jc w:val="center"/>
              <w:rPr>
                <w:rFonts w:ascii="Times New Roman" w:hAnsi="Times New Roman" w:cs="Times New Roman"/>
                <w:b/>
                <w:color w:val="000000" w:themeColor="text1"/>
                <w:szCs w:val="21"/>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w:t>
            </w:r>
            <w:r>
              <w:rPr>
                <w:rFonts w:ascii="黑体" w:eastAsia="黑体" w:hAnsi="黑体" w:cs="Times New Roman"/>
                <w:color w:val="000000" w:themeColor="text1"/>
                <w:kern w:val="0"/>
                <w:szCs w:val="21"/>
                <w:lang w:eastAsia="en-US"/>
              </w:rPr>
              <w:t>543</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5D38" w:rsidRPr="003F1DB8" w:rsidRDefault="00A2228C" w:rsidP="006547A9">
            <w:pPr>
              <w:spacing w:line="340" w:lineRule="exact"/>
              <w:jc w:val="left"/>
              <w:rPr>
                <w:bCs/>
                <w:szCs w:val="21"/>
              </w:rPr>
            </w:pPr>
            <w:r w:rsidRPr="00A2228C">
              <w:rPr>
                <w:rFonts w:hint="eastAsia"/>
                <w:szCs w:val="21"/>
              </w:rPr>
              <w:t>黑豆联合收割机</w:t>
            </w:r>
            <w:r w:rsidRPr="00A2228C">
              <w:rPr>
                <w:rFonts w:hint="eastAsia"/>
                <w:szCs w:val="21"/>
              </w:rPr>
              <w:t xml:space="preserve">  </w:t>
            </w:r>
            <w:r w:rsidRPr="00A2228C">
              <w:rPr>
                <w:rFonts w:hint="eastAsia"/>
                <w:szCs w:val="21"/>
              </w:rPr>
              <w:t>作业质量评价规范</w:t>
            </w:r>
          </w:p>
        </w:tc>
        <w:tc>
          <w:tcPr>
            <w:tcW w:w="9214" w:type="dxa"/>
            <w:tcBorders>
              <w:top w:val="single" w:sz="4" w:space="0" w:color="auto"/>
              <w:left w:val="single" w:sz="4" w:space="0" w:color="auto"/>
              <w:bottom w:val="single" w:sz="4" w:space="0" w:color="auto"/>
              <w:right w:val="single" w:sz="8" w:space="0" w:color="auto"/>
            </w:tcBorders>
            <w:vAlign w:val="center"/>
          </w:tcPr>
          <w:p w:rsidR="006E5D38" w:rsidRPr="003F1DB8" w:rsidRDefault="00A2228C" w:rsidP="006547A9">
            <w:pPr>
              <w:tabs>
                <w:tab w:val="center" w:pos="4201"/>
                <w:tab w:val="right" w:leader="dot" w:pos="9298"/>
              </w:tabs>
              <w:autoSpaceDE w:val="0"/>
              <w:autoSpaceDN w:val="0"/>
              <w:spacing w:line="340" w:lineRule="exact"/>
              <w:jc w:val="left"/>
              <w:rPr>
                <w:szCs w:val="21"/>
              </w:rPr>
            </w:pPr>
            <w:r w:rsidRPr="00A2228C">
              <w:rPr>
                <w:rFonts w:hint="eastAsia"/>
                <w:szCs w:val="21"/>
              </w:rPr>
              <w:t>本文件规定了黑豆联合收割机的术语和定义、作业质量要求、检测方法和评价规则。本文件适用于黑豆联合收割机作业质量的评定。</w:t>
            </w:r>
          </w:p>
        </w:tc>
      </w:tr>
      <w:tr w:rsidR="006E5D38" w:rsidRPr="006B69FE" w:rsidTr="006E5D38">
        <w:trPr>
          <w:trHeight w:val="20"/>
        </w:trPr>
        <w:tc>
          <w:tcPr>
            <w:tcW w:w="714" w:type="dxa"/>
            <w:tcBorders>
              <w:top w:val="single" w:sz="4" w:space="0" w:color="auto"/>
              <w:left w:val="single" w:sz="8" w:space="0" w:color="auto"/>
              <w:bottom w:val="single" w:sz="4" w:space="0" w:color="auto"/>
              <w:right w:val="single" w:sz="4"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lastRenderedPageBreak/>
              <w:t>1</w:t>
            </w:r>
            <w:r w:rsidRPr="003F1DB8">
              <w:rPr>
                <w:rFonts w:ascii="Times New Roman" w:eastAsia="仿宋_GB2312" w:hAnsi="Times New Roman" w:cs="Times New Roman"/>
                <w:b/>
                <w:color w:val="000000" w:themeColor="text1"/>
                <w:kern w:val="0"/>
                <w:szCs w:val="21"/>
              </w:rPr>
              <w:t>1</w:t>
            </w:r>
          </w:p>
        </w:tc>
        <w:tc>
          <w:tcPr>
            <w:tcW w:w="1838" w:type="dxa"/>
            <w:tcBorders>
              <w:top w:val="single" w:sz="4" w:space="0" w:color="auto"/>
              <w:left w:val="single" w:sz="4" w:space="0" w:color="auto"/>
              <w:bottom w:val="single" w:sz="4" w:space="0" w:color="auto"/>
              <w:right w:val="single" w:sz="4" w:space="0" w:color="auto"/>
            </w:tcBorders>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themeColor="text1"/>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45</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6E5D38" w:rsidRPr="003F1DB8" w:rsidRDefault="007F1C49" w:rsidP="006547A9">
            <w:pPr>
              <w:spacing w:line="340" w:lineRule="exact"/>
              <w:jc w:val="left"/>
              <w:rPr>
                <w:rFonts w:asciiTheme="minorEastAsia" w:hAnsiTheme="minorEastAsia"/>
                <w:bCs/>
                <w:color w:val="000000" w:themeColor="text1"/>
                <w:szCs w:val="21"/>
              </w:rPr>
            </w:pPr>
            <w:r w:rsidRPr="007F1C49">
              <w:rPr>
                <w:rFonts w:hint="eastAsia"/>
                <w:szCs w:val="21"/>
              </w:rPr>
              <w:t>作物叶部病害检测</w:t>
            </w:r>
            <w:r w:rsidRPr="007F1C49">
              <w:rPr>
                <w:rFonts w:hint="eastAsia"/>
                <w:szCs w:val="21"/>
              </w:rPr>
              <w:t xml:space="preserve">  </w:t>
            </w:r>
            <w:r w:rsidRPr="007F1C49">
              <w:rPr>
                <w:rFonts w:hint="eastAsia"/>
                <w:szCs w:val="21"/>
              </w:rPr>
              <w:t>光谱成像法数据采集规范</w:t>
            </w:r>
          </w:p>
        </w:tc>
        <w:tc>
          <w:tcPr>
            <w:tcW w:w="9214" w:type="dxa"/>
            <w:tcBorders>
              <w:top w:val="single" w:sz="4" w:space="0" w:color="auto"/>
              <w:left w:val="single" w:sz="4" w:space="0" w:color="auto"/>
              <w:bottom w:val="single" w:sz="4" w:space="0" w:color="auto"/>
              <w:right w:val="single" w:sz="8" w:space="0" w:color="auto"/>
            </w:tcBorders>
            <w:vAlign w:val="center"/>
          </w:tcPr>
          <w:p w:rsidR="006E5D38" w:rsidRPr="003F1DB8" w:rsidRDefault="007F1C49" w:rsidP="006547A9">
            <w:pPr>
              <w:widowControl/>
              <w:tabs>
                <w:tab w:val="center" w:pos="4201"/>
                <w:tab w:val="right" w:leader="dot" w:pos="9298"/>
              </w:tabs>
              <w:autoSpaceDE w:val="0"/>
              <w:autoSpaceDN w:val="0"/>
              <w:spacing w:line="340" w:lineRule="exact"/>
              <w:jc w:val="left"/>
              <w:rPr>
                <w:szCs w:val="21"/>
              </w:rPr>
            </w:pPr>
            <w:r w:rsidRPr="007F1C49">
              <w:rPr>
                <w:rFonts w:hint="eastAsia"/>
                <w:szCs w:val="21"/>
              </w:rPr>
              <w:t>本文件规定了玉米和小麦叶部病害数据采集的术语和定义、缩略语、数据采集系统、数据通信要求、数据管理要求。本文件适用于小麦条锈病、小麦白粉病、小麦赤霉病、玉米锈病、玉米小斑病、玉米赤霉病等常见作物的叶部病害检测。</w:t>
            </w:r>
          </w:p>
        </w:tc>
      </w:tr>
      <w:tr w:rsidR="006E5D38" w:rsidRPr="006B69FE" w:rsidTr="006E5D38">
        <w:trPr>
          <w:trHeight w:val="20"/>
        </w:trPr>
        <w:tc>
          <w:tcPr>
            <w:tcW w:w="714" w:type="dxa"/>
            <w:tcBorders>
              <w:top w:val="single" w:sz="4" w:space="0" w:color="auto"/>
              <w:left w:val="single" w:sz="8" w:space="0" w:color="auto"/>
              <w:right w:val="single" w:sz="4"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2</w:t>
            </w:r>
          </w:p>
        </w:tc>
        <w:tc>
          <w:tcPr>
            <w:tcW w:w="1838" w:type="dxa"/>
            <w:tcBorders>
              <w:top w:val="single" w:sz="4" w:space="0" w:color="auto"/>
              <w:left w:val="single" w:sz="4" w:space="0" w:color="auto"/>
              <w:right w:val="single" w:sz="4" w:space="0" w:color="auto"/>
            </w:tcBorders>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46</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tcBorders>
              <w:top w:val="single" w:sz="4" w:space="0" w:color="auto"/>
              <w:left w:val="single" w:sz="4" w:space="0" w:color="auto"/>
              <w:right w:val="single" w:sz="4" w:space="0" w:color="auto"/>
            </w:tcBorders>
            <w:shd w:val="clear" w:color="auto" w:fill="auto"/>
            <w:vAlign w:val="center"/>
          </w:tcPr>
          <w:p w:rsidR="006E5D38" w:rsidRPr="003F1DB8" w:rsidRDefault="00FE366D" w:rsidP="006547A9">
            <w:pPr>
              <w:spacing w:line="340" w:lineRule="exact"/>
              <w:jc w:val="left"/>
              <w:rPr>
                <w:bCs/>
                <w:szCs w:val="21"/>
              </w:rPr>
            </w:pPr>
            <w:r w:rsidRPr="00FE366D">
              <w:rPr>
                <w:rFonts w:hint="eastAsia"/>
                <w:szCs w:val="21"/>
              </w:rPr>
              <w:t>作物叶绿素实时检测</w:t>
            </w:r>
            <w:r w:rsidRPr="00FE366D">
              <w:rPr>
                <w:rFonts w:hint="eastAsia"/>
                <w:szCs w:val="21"/>
              </w:rPr>
              <w:t xml:space="preserve">  </w:t>
            </w:r>
            <w:r w:rsidRPr="00FE366D">
              <w:rPr>
                <w:rFonts w:hint="eastAsia"/>
                <w:szCs w:val="21"/>
              </w:rPr>
              <w:t>谱图法数据采集规范</w:t>
            </w:r>
          </w:p>
        </w:tc>
        <w:tc>
          <w:tcPr>
            <w:tcW w:w="9214" w:type="dxa"/>
            <w:tcBorders>
              <w:top w:val="single" w:sz="4" w:space="0" w:color="auto"/>
              <w:left w:val="single" w:sz="4" w:space="0" w:color="auto"/>
              <w:bottom w:val="single" w:sz="5" w:space="0" w:color="000000"/>
              <w:right w:val="single" w:sz="8" w:space="0" w:color="auto"/>
            </w:tcBorders>
            <w:vAlign w:val="center"/>
          </w:tcPr>
          <w:p w:rsidR="006E5D38" w:rsidRPr="003F1DB8" w:rsidRDefault="00FE366D" w:rsidP="006547A9">
            <w:pPr>
              <w:spacing w:line="340" w:lineRule="exact"/>
              <w:jc w:val="left"/>
              <w:rPr>
                <w:szCs w:val="21"/>
              </w:rPr>
            </w:pPr>
            <w:r w:rsidRPr="00FE366D">
              <w:rPr>
                <w:rFonts w:hint="eastAsia"/>
                <w:szCs w:val="21"/>
              </w:rPr>
              <w:t>本文件规定了冬小麦、玉米作物谱图数据采集的术语和定义、缩略语、数据采集系统、数据通信要求、数据管理要求。本文件适用于以冬小麦、玉米作物为主要对象的叶绿素实时检测。</w:t>
            </w:r>
          </w:p>
        </w:tc>
      </w:tr>
      <w:tr w:rsidR="006E5D38" w:rsidRPr="006B69FE" w:rsidTr="0083299A">
        <w:trPr>
          <w:trHeight w:val="20"/>
        </w:trPr>
        <w:tc>
          <w:tcPr>
            <w:tcW w:w="714" w:type="dxa"/>
            <w:tcBorders>
              <w:left w:val="single" w:sz="8"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3</w:t>
            </w:r>
          </w:p>
        </w:tc>
        <w:tc>
          <w:tcPr>
            <w:tcW w:w="1838" w:type="dxa"/>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themeColor="text1"/>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47</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shd w:val="clear" w:color="auto" w:fill="auto"/>
            <w:vAlign w:val="center"/>
          </w:tcPr>
          <w:p w:rsidR="006E5D38" w:rsidRPr="003F1DB8" w:rsidRDefault="001C332E" w:rsidP="006547A9">
            <w:pPr>
              <w:spacing w:line="340" w:lineRule="exact"/>
              <w:jc w:val="left"/>
              <w:rPr>
                <w:bCs/>
                <w:szCs w:val="21"/>
              </w:rPr>
            </w:pPr>
            <w:r w:rsidRPr="001C332E">
              <w:rPr>
                <w:rFonts w:hint="eastAsia"/>
                <w:szCs w:val="21"/>
              </w:rPr>
              <w:t>丘陵山地调平拖拉机</w:t>
            </w:r>
            <w:r w:rsidRPr="001C332E">
              <w:rPr>
                <w:rFonts w:hint="eastAsia"/>
                <w:szCs w:val="21"/>
              </w:rPr>
              <w:t xml:space="preserve">  </w:t>
            </w:r>
            <w:r w:rsidRPr="001C332E">
              <w:rPr>
                <w:rFonts w:hint="eastAsia"/>
                <w:szCs w:val="21"/>
              </w:rPr>
              <w:t>通用技术条件</w:t>
            </w:r>
          </w:p>
        </w:tc>
        <w:tc>
          <w:tcPr>
            <w:tcW w:w="9214" w:type="dxa"/>
            <w:tcBorders>
              <w:top w:val="single" w:sz="5" w:space="0" w:color="000000"/>
              <w:left w:val="single" w:sz="5" w:space="0" w:color="000000"/>
              <w:bottom w:val="single" w:sz="5" w:space="0" w:color="000000"/>
              <w:right w:val="single" w:sz="8" w:space="0" w:color="auto"/>
            </w:tcBorders>
            <w:vAlign w:val="center"/>
          </w:tcPr>
          <w:p w:rsidR="006E5D38" w:rsidRPr="003F1DB8" w:rsidRDefault="001C332E" w:rsidP="006547A9">
            <w:pPr>
              <w:pStyle w:val="af4"/>
              <w:spacing w:line="340" w:lineRule="exact"/>
              <w:jc w:val="left"/>
              <w:rPr>
                <w:szCs w:val="21"/>
              </w:rPr>
            </w:pPr>
            <w:r w:rsidRPr="001C332E">
              <w:rPr>
                <w:rFonts w:hint="eastAsia"/>
                <w:szCs w:val="21"/>
              </w:rPr>
              <w:t>本文件规定了丘陵山</w:t>
            </w:r>
            <w:r w:rsidRPr="001C332E">
              <w:rPr>
                <w:rFonts w:ascii="Times New Roman" w:hAnsi="Times New Roman"/>
                <w:szCs w:val="21"/>
              </w:rPr>
              <w:t>地调平拖拉机的术语和定义、型号编制、技术要求、试验方法、检验规则、交货、标志、运输和贮存。本文件适用于发动机标定功率（</w:t>
            </w:r>
            <w:r w:rsidRPr="001C332E">
              <w:rPr>
                <w:rFonts w:ascii="Times New Roman" w:hAnsi="Times New Roman"/>
                <w:szCs w:val="21"/>
              </w:rPr>
              <w:t>12 h</w:t>
            </w:r>
            <w:r w:rsidRPr="001C332E">
              <w:rPr>
                <w:rFonts w:ascii="Times New Roman" w:hAnsi="Times New Roman"/>
                <w:szCs w:val="21"/>
              </w:rPr>
              <w:t>）不大于</w:t>
            </w:r>
            <w:r w:rsidRPr="001C332E">
              <w:rPr>
                <w:rFonts w:ascii="Times New Roman" w:hAnsi="Times New Roman"/>
                <w:szCs w:val="21"/>
              </w:rPr>
              <w:t>73.6 kW</w:t>
            </w:r>
            <w:r w:rsidRPr="001C332E">
              <w:rPr>
                <w:rFonts w:ascii="Times New Roman" w:hAnsi="Times New Roman"/>
                <w:szCs w:val="21"/>
              </w:rPr>
              <w:t>（功率代号</w:t>
            </w:r>
            <w:r w:rsidRPr="001C332E">
              <w:rPr>
                <w:rFonts w:ascii="Times New Roman" w:hAnsi="Times New Roman"/>
                <w:szCs w:val="21"/>
              </w:rPr>
              <w:t>100</w:t>
            </w:r>
            <w:r w:rsidRPr="001C332E">
              <w:rPr>
                <w:rFonts w:ascii="Times New Roman" w:hAnsi="Times New Roman"/>
                <w:szCs w:val="21"/>
              </w:rPr>
              <w:t>）的丘陵山地调平拖拉机。</w:t>
            </w:r>
          </w:p>
        </w:tc>
      </w:tr>
      <w:tr w:rsidR="006E5D38" w:rsidRPr="006B69FE" w:rsidTr="0083299A">
        <w:trPr>
          <w:trHeight w:val="20"/>
        </w:trPr>
        <w:tc>
          <w:tcPr>
            <w:tcW w:w="714" w:type="dxa"/>
            <w:tcBorders>
              <w:left w:val="single" w:sz="8" w:space="0" w:color="auto"/>
            </w:tcBorders>
            <w:vAlign w:val="center"/>
          </w:tcPr>
          <w:p w:rsidR="006E5D38" w:rsidRPr="003F1DB8" w:rsidRDefault="006E5D38"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4</w:t>
            </w:r>
          </w:p>
        </w:tc>
        <w:tc>
          <w:tcPr>
            <w:tcW w:w="1838" w:type="dxa"/>
            <w:vAlign w:val="center"/>
          </w:tcPr>
          <w:p w:rsidR="006E5D38" w:rsidRPr="003F1DB8" w:rsidRDefault="006E5D38" w:rsidP="006547A9">
            <w:pPr>
              <w:widowControl/>
              <w:spacing w:line="340" w:lineRule="exact"/>
              <w:jc w:val="center"/>
              <w:rPr>
                <w:rFonts w:ascii="Times New Roman" w:eastAsia="仿宋_GB2312" w:hAnsi="Times New Roman" w:cs="Times New Roman"/>
                <w:b/>
                <w:color w:val="000000" w:themeColor="text1"/>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4</w:t>
            </w:r>
            <w:r w:rsidRPr="003F1DB8">
              <w:rPr>
                <w:rFonts w:ascii="黑体" w:eastAsia="黑体" w:hAnsi="黑体" w:cs="Times New Roman"/>
                <w:color w:val="000000" w:themeColor="text1"/>
                <w:kern w:val="0"/>
                <w:szCs w:val="21"/>
                <w:lang w:eastAsia="en-US"/>
              </w:rPr>
              <w:t>9—</w:t>
            </w:r>
            <w:r>
              <w:rPr>
                <w:rFonts w:ascii="黑体" w:eastAsia="黑体" w:hAnsi="黑体" w:cs="Times New Roman"/>
                <w:color w:val="000000" w:themeColor="text1"/>
                <w:kern w:val="0"/>
                <w:szCs w:val="21"/>
                <w:lang w:eastAsia="en-US"/>
              </w:rPr>
              <w:t>2025</w:t>
            </w:r>
          </w:p>
        </w:tc>
        <w:tc>
          <w:tcPr>
            <w:tcW w:w="2551" w:type="dxa"/>
            <w:shd w:val="clear" w:color="auto" w:fill="auto"/>
            <w:vAlign w:val="center"/>
          </w:tcPr>
          <w:p w:rsidR="006E5D38" w:rsidRPr="003F1DB8" w:rsidRDefault="00385C3F" w:rsidP="006547A9">
            <w:pPr>
              <w:spacing w:line="340" w:lineRule="exact"/>
              <w:jc w:val="left"/>
              <w:rPr>
                <w:bCs/>
                <w:szCs w:val="21"/>
              </w:rPr>
            </w:pPr>
            <w:r w:rsidRPr="00385C3F">
              <w:rPr>
                <w:rFonts w:hint="eastAsia"/>
                <w:kern w:val="0"/>
                <w:szCs w:val="21"/>
              </w:rPr>
              <w:t>智能变频增氧机</w:t>
            </w:r>
          </w:p>
        </w:tc>
        <w:tc>
          <w:tcPr>
            <w:tcW w:w="9214" w:type="dxa"/>
            <w:tcBorders>
              <w:top w:val="single" w:sz="5" w:space="0" w:color="000000"/>
              <w:left w:val="single" w:sz="5" w:space="0" w:color="000000"/>
              <w:bottom w:val="single" w:sz="5" w:space="0" w:color="000000"/>
              <w:right w:val="single" w:sz="8" w:space="0" w:color="auto"/>
            </w:tcBorders>
            <w:vAlign w:val="center"/>
          </w:tcPr>
          <w:p w:rsidR="006E5D38" w:rsidRPr="003F1DB8" w:rsidRDefault="00385C3F" w:rsidP="006547A9">
            <w:pPr>
              <w:spacing w:line="340" w:lineRule="exact"/>
              <w:jc w:val="left"/>
              <w:outlineLvl w:val="1"/>
              <w:rPr>
                <w:kern w:val="0"/>
                <w:szCs w:val="21"/>
              </w:rPr>
            </w:pPr>
            <w:r w:rsidRPr="00385C3F">
              <w:rPr>
                <w:rFonts w:hint="eastAsia"/>
                <w:kern w:val="0"/>
                <w:szCs w:val="21"/>
              </w:rPr>
              <w:t>本文件规定了智能变频增氧机的术语和定义、产品型号、技术要求、试验方法、检验规则、标志、包装、运输和贮存。本文件适用于智能变频增氧机。</w:t>
            </w:r>
          </w:p>
        </w:tc>
      </w:tr>
      <w:tr w:rsidR="00385C3F" w:rsidRPr="006B69FE" w:rsidTr="0083299A">
        <w:trPr>
          <w:trHeight w:val="20"/>
        </w:trPr>
        <w:tc>
          <w:tcPr>
            <w:tcW w:w="714" w:type="dxa"/>
            <w:tcBorders>
              <w:left w:val="single" w:sz="8" w:space="0" w:color="auto"/>
            </w:tcBorders>
            <w:vAlign w:val="center"/>
          </w:tcPr>
          <w:p w:rsidR="00385C3F" w:rsidRPr="003F1DB8" w:rsidRDefault="00385C3F"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5</w:t>
            </w:r>
          </w:p>
        </w:tc>
        <w:tc>
          <w:tcPr>
            <w:tcW w:w="1838" w:type="dxa"/>
            <w:vAlign w:val="center"/>
          </w:tcPr>
          <w:p w:rsidR="00385C3F" w:rsidRPr="003F1DB8" w:rsidRDefault="00385C3F" w:rsidP="006547A9">
            <w:pPr>
              <w:widowControl/>
              <w:spacing w:line="340" w:lineRule="exact"/>
              <w:jc w:val="center"/>
              <w:rPr>
                <w:rFonts w:ascii="Times New Roman" w:eastAsia="仿宋_GB2312" w:hAnsi="Times New Roman" w:cs="Times New Roman"/>
                <w:b/>
                <w:color w:val="000000" w:themeColor="text1"/>
                <w:kern w:val="0"/>
                <w:szCs w:val="21"/>
                <w:lang w:eastAsia="en-US"/>
              </w:rPr>
            </w:pPr>
            <w:r w:rsidRPr="003F1DB8">
              <w:rPr>
                <w:rFonts w:ascii="Times New Roman" w:eastAsia="仿宋_GB2312" w:hAnsi="Times New Roman" w:cs="Times New Roman"/>
                <w:b/>
                <w:color w:val="000000" w:themeColor="text1"/>
                <w:kern w:val="0"/>
                <w:szCs w:val="21"/>
                <w:lang w:eastAsia="en-US"/>
              </w:rPr>
              <w:t xml:space="preserve">T/NJ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50</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shd w:val="clear" w:color="auto" w:fill="auto"/>
            <w:vAlign w:val="center"/>
          </w:tcPr>
          <w:p w:rsidR="00385C3F" w:rsidRPr="003F1DB8" w:rsidRDefault="00385C3F" w:rsidP="006547A9">
            <w:pPr>
              <w:spacing w:line="340" w:lineRule="exact"/>
              <w:jc w:val="left"/>
              <w:rPr>
                <w:bCs/>
                <w:szCs w:val="21"/>
              </w:rPr>
            </w:pPr>
            <w:r w:rsidRPr="00385C3F">
              <w:rPr>
                <w:rFonts w:hint="eastAsia"/>
                <w:bCs/>
                <w:szCs w:val="21"/>
              </w:rPr>
              <w:t>矮砧密植果园</w:t>
            </w:r>
            <w:r w:rsidRPr="00385C3F">
              <w:rPr>
                <w:rFonts w:hint="eastAsia"/>
                <w:bCs/>
                <w:szCs w:val="21"/>
              </w:rPr>
              <w:t xml:space="preserve">  </w:t>
            </w:r>
            <w:r w:rsidRPr="00385C3F">
              <w:rPr>
                <w:rFonts w:hint="eastAsia"/>
                <w:bCs/>
                <w:szCs w:val="21"/>
              </w:rPr>
              <w:t>智能微灌水肥管理系统设计规范</w:t>
            </w:r>
          </w:p>
        </w:tc>
        <w:tc>
          <w:tcPr>
            <w:tcW w:w="9214" w:type="dxa"/>
            <w:tcBorders>
              <w:top w:val="single" w:sz="5" w:space="0" w:color="000000"/>
              <w:left w:val="single" w:sz="5" w:space="0" w:color="000000"/>
              <w:bottom w:val="single" w:sz="5" w:space="0" w:color="000000"/>
              <w:right w:val="single" w:sz="8" w:space="0" w:color="auto"/>
            </w:tcBorders>
            <w:vAlign w:val="center"/>
          </w:tcPr>
          <w:p w:rsidR="00385C3F" w:rsidRPr="003F1DB8" w:rsidRDefault="00385C3F" w:rsidP="006547A9">
            <w:pPr>
              <w:spacing w:line="340" w:lineRule="exact"/>
              <w:jc w:val="left"/>
              <w:outlineLvl w:val="1"/>
              <w:rPr>
                <w:kern w:val="0"/>
                <w:szCs w:val="21"/>
              </w:rPr>
            </w:pPr>
            <w:r w:rsidRPr="00385C3F">
              <w:rPr>
                <w:rFonts w:hint="eastAsia"/>
                <w:kern w:val="0"/>
                <w:szCs w:val="21"/>
              </w:rPr>
              <w:t>本文件规定了矮砧密植果园智能微灌及水肥精准管理系统设计规范的术语和定义、系统组成、设计规范、系统关键设备或产品选型要求、系统及设备维护与保养。本文件适用于矮砧密植标准化果园的微灌及水肥精准管理系统的设计、制造、安装与运行维护。</w:t>
            </w:r>
          </w:p>
        </w:tc>
      </w:tr>
      <w:tr w:rsidR="00385C3F" w:rsidRPr="006B69FE" w:rsidTr="0083299A">
        <w:trPr>
          <w:trHeight w:val="20"/>
        </w:trPr>
        <w:tc>
          <w:tcPr>
            <w:tcW w:w="714" w:type="dxa"/>
            <w:tcBorders>
              <w:left w:val="single" w:sz="8" w:space="0" w:color="auto"/>
            </w:tcBorders>
            <w:vAlign w:val="center"/>
          </w:tcPr>
          <w:p w:rsidR="00385C3F" w:rsidRPr="003F1DB8" w:rsidRDefault="00385C3F" w:rsidP="006547A9">
            <w:pPr>
              <w:spacing w:line="340" w:lineRule="exact"/>
              <w:jc w:val="center"/>
              <w:rPr>
                <w:rFonts w:ascii="Times New Roman" w:eastAsia="仿宋_GB2312" w:hAnsi="Times New Roman" w:cs="Times New Roman"/>
                <w:b/>
                <w:color w:val="000000" w:themeColor="text1"/>
                <w:kern w:val="0"/>
                <w:szCs w:val="21"/>
              </w:rPr>
            </w:pPr>
            <w:r w:rsidRPr="003F1DB8">
              <w:rPr>
                <w:rFonts w:ascii="Times New Roman" w:eastAsia="仿宋_GB2312" w:hAnsi="Times New Roman" w:cs="Times New Roman" w:hint="eastAsia"/>
                <w:b/>
                <w:color w:val="000000" w:themeColor="text1"/>
                <w:kern w:val="0"/>
                <w:szCs w:val="21"/>
              </w:rPr>
              <w:t>1</w:t>
            </w:r>
            <w:r w:rsidRPr="003F1DB8">
              <w:rPr>
                <w:rFonts w:ascii="Times New Roman" w:eastAsia="仿宋_GB2312" w:hAnsi="Times New Roman" w:cs="Times New Roman"/>
                <w:b/>
                <w:color w:val="000000" w:themeColor="text1"/>
                <w:kern w:val="0"/>
                <w:szCs w:val="21"/>
              </w:rPr>
              <w:t>6</w:t>
            </w:r>
          </w:p>
        </w:tc>
        <w:tc>
          <w:tcPr>
            <w:tcW w:w="1838" w:type="dxa"/>
            <w:vAlign w:val="center"/>
          </w:tcPr>
          <w:p w:rsidR="00385C3F" w:rsidRPr="003F1DB8" w:rsidRDefault="00385C3F" w:rsidP="006547A9">
            <w:pPr>
              <w:widowControl/>
              <w:spacing w:line="340" w:lineRule="exact"/>
              <w:jc w:val="center"/>
              <w:rPr>
                <w:rFonts w:ascii="Times New Roman" w:eastAsia="仿宋_GB2312" w:hAnsi="Times New Roman" w:cs="Times New Roman"/>
                <w:b/>
                <w:color w:val="000000" w:themeColor="text1"/>
                <w:kern w:val="0"/>
                <w:szCs w:val="21"/>
                <w:lang w:eastAsia="en-US"/>
              </w:rPr>
            </w:pPr>
            <w:r>
              <w:rPr>
                <w:rFonts w:ascii="Times New Roman" w:eastAsia="仿宋_GB2312" w:hAnsi="Times New Roman" w:cs="Times New Roman"/>
                <w:b/>
                <w:color w:val="000000" w:themeColor="text1"/>
                <w:kern w:val="0"/>
                <w:szCs w:val="21"/>
                <w:lang w:eastAsia="en-US"/>
              </w:rPr>
              <w:t>T</w:t>
            </w:r>
            <w:r w:rsidRPr="003F1DB8">
              <w:rPr>
                <w:rFonts w:ascii="Times New Roman" w:eastAsia="仿宋_GB2312" w:hAnsi="Times New Roman" w:cs="Times New Roman"/>
                <w:b/>
                <w:color w:val="000000" w:themeColor="text1"/>
                <w:kern w:val="0"/>
                <w:szCs w:val="21"/>
                <w:lang w:eastAsia="en-US"/>
              </w:rPr>
              <w:t xml:space="preserve">/NJ </w:t>
            </w:r>
            <w:r w:rsidRPr="003F1DB8">
              <w:rPr>
                <w:rFonts w:ascii="黑体" w:eastAsia="黑体" w:hAnsi="黑体" w:cs="Times New Roman"/>
                <w:color w:val="000000" w:themeColor="text1"/>
                <w:kern w:val="0"/>
                <w:szCs w:val="21"/>
                <w:lang w:eastAsia="en-US"/>
              </w:rPr>
              <w:t>15</w:t>
            </w:r>
            <w:r>
              <w:rPr>
                <w:rFonts w:ascii="黑体" w:eastAsia="黑体" w:hAnsi="黑体" w:cs="Times New Roman"/>
                <w:color w:val="000000" w:themeColor="text1"/>
                <w:kern w:val="0"/>
                <w:szCs w:val="21"/>
                <w:lang w:eastAsia="en-US"/>
              </w:rPr>
              <w:t>51</w:t>
            </w:r>
            <w:r w:rsidRPr="003F1DB8">
              <w:rPr>
                <w:rFonts w:ascii="黑体" w:eastAsia="黑体" w:hAnsi="黑体" w:cs="Times New Roman"/>
                <w:color w:val="000000" w:themeColor="text1"/>
                <w:kern w:val="0"/>
                <w:szCs w:val="21"/>
                <w:lang w:eastAsia="en-US"/>
              </w:rPr>
              <w:t>—</w:t>
            </w:r>
            <w:r>
              <w:rPr>
                <w:rFonts w:ascii="黑体" w:eastAsia="黑体" w:hAnsi="黑体" w:cs="Times New Roman"/>
                <w:color w:val="000000" w:themeColor="text1"/>
                <w:kern w:val="0"/>
                <w:szCs w:val="21"/>
                <w:lang w:eastAsia="en-US"/>
              </w:rPr>
              <w:t>2025</w:t>
            </w:r>
          </w:p>
        </w:tc>
        <w:tc>
          <w:tcPr>
            <w:tcW w:w="2551" w:type="dxa"/>
            <w:shd w:val="clear" w:color="auto" w:fill="auto"/>
            <w:vAlign w:val="center"/>
          </w:tcPr>
          <w:p w:rsidR="00385C3F" w:rsidRPr="003F1DB8" w:rsidRDefault="006547A9" w:rsidP="006547A9">
            <w:pPr>
              <w:spacing w:line="340" w:lineRule="exact"/>
              <w:jc w:val="left"/>
              <w:rPr>
                <w:bCs/>
                <w:szCs w:val="21"/>
              </w:rPr>
            </w:pPr>
            <w:r w:rsidRPr="006547A9">
              <w:rPr>
                <w:rFonts w:ascii="Times New Roman" w:hAnsi="Times New Roman" w:cs="Times New Roman" w:hint="eastAsia"/>
                <w:szCs w:val="21"/>
              </w:rPr>
              <w:t>设施农业设备</w:t>
            </w:r>
            <w:r w:rsidRPr="006547A9">
              <w:rPr>
                <w:rFonts w:ascii="Times New Roman" w:hAnsi="Times New Roman" w:cs="Times New Roman" w:hint="eastAsia"/>
                <w:szCs w:val="21"/>
              </w:rPr>
              <w:t xml:space="preserve">  </w:t>
            </w:r>
            <w:r w:rsidRPr="006547A9">
              <w:rPr>
                <w:rFonts w:ascii="Times New Roman" w:hAnsi="Times New Roman" w:cs="Times New Roman" w:hint="eastAsia"/>
                <w:szCs w:val="21"/>
              </w:rPr>
              <w:t>甲醇热风炉</w:t>
            </w:r>
          </w:p>
        </w:tc>
        <w:tc>
          <w:tcPr>
            <w:tcW w:w="9214" w:type="dxa"/>
            <w:tcBorders>
              <w:right w:val="single" w:sz="8" w:space="0" w:color="auto"/>
            </w:tcBorders>
            <w:vAlign w:val="center"/>
          </w:tcPr>
          <w:p w:rsidR="00385C3F" w:rsidRPr="003F1DB8" w:rsidRDefault="006547A9" w:rsidP="006547A9">
            <w:pPr>
              <w:spacing w:line="340" w:lineRule="exact"/>
              <w:jc w:val="left"/>
              <w:outlineLvl w:val="1"/>
              <w:rPr>
                <w:rFonts w:ascii="Times New Roman" w:hAnsi="Times New Roman" w:cs="Times New Roman"/>
                <w:szCs w:val="21"/>
              </w:rPr>
            </w:pPr>
            <w:r w:rsidRPr="006547A9">
              <w:rPr>
                <w:rFonts w:ascii="Times New Roman" w:hAnsi="Times New Roman" w:cs="Times New Roman" w:hint="eastAsia"/>
                <w:szCs w:val="21"/>
              </w:rPr>
              <w:t>本文件规定了设施农业设备甲醇热风炉的术语和定义、产品型号、技术要求、试验方法、检验规则、标志、包装、运输和贮存。本文件适用于以甲醇为燃料，加热介质为空气，导热介质为水或其它导热液体的间接加热式热风炉。</w:t>
            </w:r>
          </w:p>
        </w:tc>
      </w:tr>
    </w:tbl>
    <w:p w:rsidR="00A54F38" w:rsidRPr="00C30E01" w:rsidRDefault="00A54F38" w:rsidP="00A54F38">
      <w:pPr>
        <w:spacing w:line="40" w:lineRule="exact"/>
        <w:jc w:val="center"/>
        <w:rPr>
          <w:rFonts w:ascii="黑体" w:eastAsia="黑体" w:hAnsi="黑体" w:cs="宋体"/>
          <w:b/>
          <w:bCs/>
          <w:color w:val="424849"/>
          <w:kern w:val="0"/>
          <w:sz w:val="36"/>
          <w:szCs w:val="36"/>
        </w:rPr>
      </w:pPr>
    </w:p>
    <w:p w:rsidR="002860A1" w:rsidRPr="00C30E01" w:rsidRDefault="002860A1" w:rsidP="00C30E01">
      <w:pPr>
        <w:spacing w:line="40" w:lineRule="exact"/>
        <w:jc w:val="center"/>
        <w:rPr>
          <w:rFonts w:ascii="黑体" w:eastAsia="黑体" w:hAnsi="黑体" w:cs="宋体"/>
          <w:b/>
          <w:bCs/>
          <w:color w:val="424849"/>
          <w:kern w:val="0"/>
          <w:sz w:val="36"/>
          <w:szCs w:val="36"/>
        </w:rPr>
      </w:pPr>
    </w:p>
    <w:sectPr w:rsidR="002860A1" w:rsidRPr="00C30E01" w:rsidSect="00302E73">
      <w:headerReference w:type="default" r:id="rId8"/>
      <w:footerReference w:type="default" r:id="rId9"/>
      <w:pgSz w:w="16838" w:h="11906" w:orient="landscape"/>
      <w:pgMar w:top="1134" w:right="1247" w:bottom="1134" w:left="1304"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9A8" w:rsidRDefault="00F309A8" w:rsidP="00794D96">
      <w:r>
        <w:separator/>
      </w:r>
    </w:p>
  </w:endnote>
  <w:endnote w:type="continuationSeparator" w:id="0">
    <w:p w:rsidR="00F309A8" w:rsidRDefault="00F309A8" w:rsidP="0079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zh-CN"/>
      </w:rPr>
      <w:id w:val="1655571282"/>
      <w:docPartObj>
        <w:docPartGallery w:val="Page Numbers (Bottom of Page)"/>
        <w:docPartUnique/>
      </w:docPartObj>
    </w:sdtPr>
    <w:sdtEndPr>
      <w:rPr>
        <w:rFonts w:ascii="Times New Roman" w:hAnsi="Times New Roman" w:cs="Times New Roman"/>
        <w:sz w:val="30"/>
        <w:szCs w:val="30"/>
      </w:rPr>
    </w:sdtEndPr>
    <w:sdtContent>
      <w:p w:rsidR="006A7ABE" w:rsidRPr="000A39D2" w:rsidRDefault="006A7ABE">
        <w:pPr>
          <w:pStyle w:val="ab"/>
          <w:jc w:val="center"/>
          <w:rPr>
            <w:rFonts w:ascii="Times New Roman" w:eastAsiaTheme="majorEastAsia" w:hAnsi="Times New Roman" w:cs="Times New Roman"/>
            <w:sz w:val="30"/>
            <w:szCs w:val="30"/>
          </w:rPr>
        </w:pPr>
        <w:r w:rsidRPr="000A39D2">
          <w:rPr>
            <w:rFonts w:ascii="Times New Roman" w:eastAsiaTheme="majorEastAsia" w:hAnsi="Times New Roman" w:cs="Times New Roman"/>
            <w:sz w:val="30"/>
            <w:szCs w:val="30"/>
            <w:lang w:val="zh-CN"/>
          </w:rPr>
          <w:t xml:space="preserve">~ </w:t>
        </w:r>
        <w:r w:rsidR="005D1281" w:rsidRPr="000A39D2">
          <w:rPr>
            <w:rFonts w:ascii="Times New Roman" w:hAnsi="Times New Roman" w:cs="Times New Roman"/>
            <w:sz w:val="30"/>
            <w:szCs w:val="30"/>
          </w:rPr>
          <w:fldChar w:fldCharType="begin"/>
        </w:r>
        <w:r w:rsidRPr="000A39D2">
          <w:rPr>
            <w:rFonts w:ascii="Times New Roman" w:hAnsi="Times New Roman" w:cs="Times New Roman"/>
            <w:sz w:val="30"/>
            <w:szCs w:val="30"/>
          </w:rPr>
          <w:instrText>PAGE    \* MERGEFORMAT</w:instrText>
        </w:r>
        <w:r w:rsidR="005D1281" w:rsidRPr="000A39D2">
          <w:rPr>
            <w:rFonts w:ascii="Times New Roman" w:hAnsi="Times New Roman" w:cs="Times New Roman"/>
            <w:sz w:val="30"/>
            <w:szCs w:val="30"/>
          </w:rPr>
          <w:fldChar w:fldCharType="separate"/>
        </w:r>
        <w:r w:rsidR="006547A9" w:rsidRPr="006547A9">
          <w:rPr>
            <w:rFonts w:ascii="Times New Roman" w:eastAsiaTheme="majorEastAsia" w:hAnsi="Times New Roman" w:cs="Times New Roman"/>
            <w:noProof/>
            <w:sz w:val="30"/>
            <w:szCs w:val="30"/>
            <w:lang w:val="zh-CN"/>
          </w:rPr>
          <w:t>1</w:t>
        </w:r>
        <w:r w:rsidR="005D1281" w:rsidRPr="000A39D2">
          <w:rPr>
            <w:rFonts w:ascii="Times New Roman" w:eastAsiaTheme="majorEastAsia" w:hAnsi="Times New Roman" w:cs="Times New Roman"/>
            <w:sz w:val="30"/>
            <w:szCs w:val="30"/>
          </w:rPr>
          <w:fldChar w:fldCharType="end"/>
        </w:r>
        <w:r w:rsidRPr="000A39D2">
          <w:rPr>
            <w:rFonts w:ascii="Times New Roman" w:eastAsiaTheme="majorEastAsia" w:hAnsi="Times New Roman" w:cs="Times New Roman"/>
            <w:sz w:val="30"/>
            <w:szCs w:val="30"/>
            <w:lang w:val="zh-CN"/>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9A8" w:rsidRDefault="00F309A8" w:rsidP="00794D96">
      <w:r>
        <w:separator/>
      </w:r>
    </w:p>
  </w:footnote>
  <w:footnote w:type="continuationSeparator" w:id="0">
    <w:p w:rsidR="00F309A8" w:rsidRDefault="00F309A8" w:rsidP="00794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5E5" w:rsidRDefault="008B55E5" w:rsidP="008B55E5">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91163"/>
    <w:multiLevelType w:val="multilevel"/>
    <w:tmpl w:val="C5E448D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color w:val="auto"/>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657D3FBC"/>
    <w:multiLevelType w:val="multilevel"/>
    <w:tmpl w:val="657D3FBC"/>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277" w:firstLine="0"/>
      </w:pPr>
      <w:rPr>
        <w:rFonts w:ascii="黑体" w:eastAsia="黑体" w:hAnsi="Times New Roman" w:hint="eastAsia"/>
        <w:b w:val="0"/>
        <w:i w:val="0"/>
        <w:sz w:val="21"/>
        <w:lang w:val="en-US"/>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69C8601B"/>
    <w:multiLevelType w:val="multilevel"/>
    <w:tmpl w:val="69C8601B"/>
    <w:lvl w:ilvl="0">
      <w:start w:val="1"/>
      <w:numFmt w:val="decimal"/>
      <w:lvlText w:val="%1"/>
      <w:lvlJc w:val="center"/>
      <w:pPr>
        <w:tabs>
          <w:tab w:val="num" w:pos="113"/>
        </w:tabs>
        <w:ind w:left="113" w:firstLine="0"/>
      </w:pPr>
      <w:rPr>
        <w:rFonts w:eastAsia="仿宋" w:hint="eastAsia"/>
        <w:b w:val="0"/>
        <w:i w:val="0"/>
        <w:sz w:val="21"/>
        <w:szCs w:val="21"/>
      </w:rPr>
    </w:lvl>
    <w:lvl w:ilvl="1">
      <w:start w:val="1"/>
      <w:numFmt w:val="decimal"/>
      <w:lvlText w:val="%2"/>
      <w:lvlJc w:val="center"/>
      <w:pPr>
        <w:tabs>
          <w:tab w:val="num" w:pos="113"/>
        </w:tabs>
        <w:ind w:left="113" w:firstLine="0"/>
      </w:pPr>
      <w:rPr>
        <w:rFonts w:eastAsia="仿宋" w:hint="eastAsia"/>
        <w:b w:val="0"/>
        <w:i w:val="0"/>
        <w:sz w:val="21"/>
        <w:szCs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CEA2025"/>
    <w:multiLevelType w:val="multilevel"/>
    <w:tmpl w:val="A5321E0C"/>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Times New Roman" w:eastAsia="黑体" w:hAnsi="Times New Roman" w:cs="Times New Roman" w:hint="default"/>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B2014"/>
    <w:rsid w:val="0000655B"/>
    <w:rsid w:val="00007892"/>
    <w:rsid w:val="00010BFC"/>
    <w:rsid w:val="00033F9D"/>
    <w:rsid w:val="000834B3"/>
    <w:rsid w:val="00092BC8"/>
    <w:rsid w:val="000A1EE7"/>
    <w:rsid w:val="000A31DE"/>
    <w:rsid w:val="000B0737"/>
    <w:rsid w:val="000F3BC8"/>
    <w:rsid w:val="0010404D"/>
    <w:rsid w:val="001245BC"/>
    <w:rsid w:val="00140F35"/>
    <w:rsid w:val="00160AFE"/>
    <w:rsid w:val="00172781"/>
    <w:rsid w:val="00175C56"/>
    <w:rsid w:val="00182DE7"/>
    <w:rsid w:val="00193D58"/>
    <w:rsid w:val="001A28BF"/>
    <w:rsid w:val="001A7093"/>
    <w:rsid w:val="001B5FAC"/>
    <w:rsid w:val="001C32C2"/>
    <w:rsid w:val="001C332E"/>
    <w:rsid w:val="001C5DD7"/>
    <w:rsid w:val="001D0132"/>
    <w:rsid w:val="001E11B7"/>
    <w:rsid w:val="001F3457"/>
    <w:rsid w:val="00223619"/>
    <w:rsid w:val="00241CBE"/>
    <w:rsid w:val="00274D44"/>
    <w:rsid w:val="002860A1"/>
    <w:rsid w:val="002A310E"/>
    <w:rsid w:val="002C20E8"/>
    <w:rsid w:val="002E2AAB"/>
    <w:rsid w:val="003014F3"/>
    <w:rsid w:val="00302E73"/>
    <w:rsid w:val="00304436"/>
    <w:rsid w:val="003146E3"/>
    <w:rsid w:val="00324DB2"/>
    <w:rsid w:val="00326741"/>
    <w:rsid w:val="00327B5C"/>
    <w:rsid w:val="00332BC1"/>
    <w:rsid w:val="00333DBC"/>
    <w:rsid w:val="00337820"/>
    <w:rsid w:val="0036164D"/>
    <w:rsid w:val="003745A9"/>
    <w:rsid w:val="00382E15"/>
    <w:rsid w:val="0038377A"/>
    <w:rsid w:val="00385C3F"/>
    <w:rsid w:val="00396510"/>
    <w:rsid w:val="003A49DF"/>
    <w:rsid w:val="003A780E"/>
    <w:rsid w:val="003A7D0B"/>
    <w:rsid w:val="003B754E"/>
    <w:rsid w:val="003C1307"/>
    <w:rsid w:val="003C6540"/>
    <w:rsid w:val="003F070A"/>
    <w:rsid w:val="003F4CFC"/>
    <w:rsid w:val="003F6E90"/>
    <w:rsid w:val="00405CEE"/>
    <w:rsid w:val="00411C6A"/>
    <w:rsid w:val="0043294D"/>
    <w:rsid w:val="00454741"/>
    <w:rsid w:val="00454AF2"/>
    <w:rsid w:val="00464C9D"/>
    <w:rsid w:val="0046559A"/>
    <w:rsid w:val="004711A2"/>
    <w:rsid w:val="00483760"/>
    <w:rsid w:val="00483861"/>
    <w:rsid w:val="0049092A"/>
    <w:rsid w:val="00496D6B"/>
    <w:rsid w:val="004B1593"/>
    <w:rsid w:val="004C51D1"/>
    <w:rsid w:val="004C6F11"/>
    <w:rsid w:val="004D2602"/>
    <w:rsid w:val="004D57BC"/>
    <w:rsid w:val="004E0779"/>
    <w:rsid w:val="004E3404"/>
    <w:rsid w:val="004E38C8"/>
    <w:rsid w:val="004F1716"/>
    <w:rsid w:val="004F34C5"/>
    <w:rsid w:val="005025DE"/>
    <w:rsid w:val="00512E61"/>
    <w:rsid w:val="00515031"/>
    <w:rsid w:val="0052270E"/>
    <w:rsid w:val="00530403"/>
    <w:rsid w:val="00530CAA"/>
    <w:rsid w:val="005320B2"/>
    <w:rsid w:val="0054730E"/>
    <w:rsid w:val="00557E51"/>
    <w:rsid w:val="0056342F"/>
    <w:rsid w:val="00567FD5"/>
    <w:rsid w:val="00571BCB"/>
    <w:rsid w:val="0057227E"/>
    <w:rsid w:val="00572F87"/>
    <w:rsid w:val="00580EE2"/>
    <w:rsid w:val="00594886"/>
    <w:rsid w:val="005B1F96"/>
    <w:rsid w:val="005B7681"/>
    <w:rsid w:val="005C2D47"/>
    <w:rsid w:val="005D1281"/>
    <w:rsid w:val="005D2C1E"/>
    <w:rsid w:val="005E21C5"/>
    <w:rsid w:val="006021F8"/>
    <w:rsid w:val="00602E9B"/>
    <w:rsid w:val="0062310C"/>
    <w:rsid w:val="00623E4C"/>
    <w:rsid w:val="0062616E"/>
    <w:rsid w:val="00626F2C"/>
    <w:rsid w:val="006422B0"/>
    <w:rsid w:val="00643F24"/>
    <w:rsid w:val="006547A9"/>
    <w:rsid w:val="006576C2"/>
    <w:rsid w:val="0066032C"/>
    <w:rsid w:val="00675C47"/>
    <w:rsid w:val="00691571"/>
    <w:rsid w:val="006A7ABE"/>
    <w:rsid w:val="006A7EB8"/>
    <w:rsid w:val="006B2014"/>
    <w:rsid w:val="006B69FE"/>
    <w:rsid w:val="006C696F"/>
    <w:rsid w:val="006C7327"/>
    <w:rsid w:val="006D20D9"/>
    <w:rsid w:val="006D6284"/>
    <w:rsid w:val="006E4A25"/>
    <w:rsid w:val="006E5D38"/>
    <w:rsid w:val="006F2430"/>
    <w:rsid w:val="006F4B6D"/>
    <w:rsid w:val="007279B3"/>
    <w:rsid w:val="007445FC"/>
    <w:rsid w:val="0074594A"/>
    <w:rsid w:val="0075114F"/>
    <w:rsid w:val="00753691"/>
    <w:rsid w:val="007630E1"/>
    <w:rsid w:val="00767CFB"/>
    <w:rsid w:val="00794D96"/>
    <w:rsid w:val="007A0F09"/>
    <w:rsid w:val="007A3A15"/>
    <w:rsid w:val="007E4485"/>
    <w:rsid w:val="007F1C49"/>
    <w:rsid w:val="007F30DB"/>
    <w:rsid w:val="008138A5"/>
    <w:rsid w:val="00817FEE"/>
    <w:rsid w:val="008351D0"/>
    <w:rsid w:val="008357B8"/>
    <w:rsid w:val="00851485"/>
    <w:rsid w:val="0085421E"/>
    <w:rsid w:val="00855C14"/>
    <w:rsid w:val="00864B3B"/>
    <w:rsid w:val="008739F7"/>
    <w:rsid w:val="00884252"/>
    <w:rsid w:val="0089132E"/>
    <w:rsid w:val="00892EF1"/>
    <w:rsid w:val="008975AE"/>
    <w:rsid w:val="008A1633"/>
    <w:rsid w:val="008A272E"/>
    <w:rsid w:val="008B1935"/>
    <w:rsid w:val="008B55E5"/>
    <w:rsid w:val="008D0E5C"/>
    <w:rsid w:val="008F22E2"/>
    <w:rsid w:val="00910EEE"/>
    <w:rsid w:val="00942D2A"/>
    <w:rsid w:val="009438A1"/>
    <w:rsid w:val="00945005"/>
    <w:rsid w:val="00951710"/>
    <w:rsid w:val="009634FF"/>
    <w:rsid w:val="00964DDD"/>
    <w:rsid w:val="00981795"/>
    <w:rsid w:val="00981AD5"/>
    <w:rsid w:val="009B71BE"/>
    <w:rsid w:val="009C39A3"/>
    <w:rsid w:val="009E6D25"/>
    <w:rsid w:val="009F39E5"/>
    <w:rsid w:val="009F3C23"/>
    <w:rsid w:val="00A0092C"/>
    <w:rsid w:val="00A17CC8"/>
    <w:rsid w:val="00A2228C"/>
    <w:rsid w:val="00A438DF"/>
    <w:rsid w:val="00A54F38"/>
    <w:rsid w:val="00A625B3"/>
    <w:rsid w:val="00A65ED7"/>
    <w:rsid w:val="00A73D66"/>
    <w:rsid w:val="00A93C83"/>
    <w:rsid w:val="00AA2F9E"/>
    <w:rsid w:val="00AA6A14"/>
    <w:rsid w:val="00AB14D3"/>
    <w:rsid w:val="00AC58D2"/>
    <w:rsid w:val="00AC6868"/>
    <w:rsid w:val="00AD2608"/>
    <w:rsid w:val="00AD6F8C"/>
    <w:rsid w:val="00AE24ED"/>
    <w:rsid w:val="00B019CB"/>
    <w:rsid w:val="00B04D62"/>
    <w:rsid w:val="00B1290F"/>
    <w:rsid w:val="00B15856"/>
    <w:rsid w:val="00B2214B"/>
    <w:rsid w:val="00B32B4A"/>
    <w:rsid w:val="00B63BC3"/>
    <w:rsid w:val="00B66624"/>
    <w:rsid w:val="00B72239"/>
    <w:rsid w:val="00B77538"/>
    <w:rsid w:val="00B825E6"/>
    <w:rsid w:val="00B8657F"/>
    <w:rsid w:val="00BA01B9"/>
    <w:rsid w:val="00BA0A00"/>
    <w:rsid w:val="00BC3942"/>
    <w:rsid w:val="00BE5892"/>
    <w:rsid w:val="00BF0B73"/>
    <w:rsid w:val="00BF7363"/>
    <w:rsid w:val="00C110CA"/>
    <w:rsid w:val="00C164C4"/>
    <w:rsid w:val="00C30E01"/>
    <w:rsid w:val="00C318A3"/>
    <w:rsid w:val="00C33ADD"/>
    <w:rsid w:val="00C41549"/>
    <w:rsid w:val="00C53C27"/>
    <w:rsid w:val="00C641D2"/>
    <w:rsid w:val="00C726BD"/>
    <w:rsid w:val="00C818D3"/>
    <w:rsid w:val="00C8334F"/>
    <w:rsid w:val="00C85FDB"/>
    <w:rsid w:val="00C91BC3"/>
    <w:rsid w:val="00CB3E39"/>
    <w:rsid w:val="00CB7454"/>
    <w:rsid w:val="00CB7EAA"/>
    <w:rsid w:val="00CC0F00"/>
    <w:rsid w:val="00CC5CE8"/>
    <w:rsid w:val="00CC6D23"/>
    <w:rsid w:val="00CC7096"/>
    <w:rsid w:val="00CC7DE1"/>
    <w:rsid w:val="00CF2FAF"/>
    <w:rsid w:val="00D007FF"/>
    <w:rsid w:val="00D07FA0"/>
    <w:rsid w:val="00D20956"/>
    <w:rsid w:val="00D25FD9"/>
    <w:rsid w:val="00D2635F"/>
    <w:rsid w:val="00D42FA3"/>
    <w:rsid w:val="00D64BA0"/>
    <w:rsid w:val="00D6623C"/>
    <w:rsid w:val="00D6783E"/>
    <w:rsid w:val="00D86487"/>
    <w:rsid w:val="00DB0A4E"/>
    <w:rsid w:val="00DC6ABF"/>
    <w:rsid w:val="00DE090E"/>
    <w:rsid w:val="00DE4619"/>
    <w:rsid w:val="00DF1DD5"/>
    <w:rsid w:val="00DF3F1C"/>
    <w:rsid w:val="00E013AE"/>
    <w:rsid w:val="00E043D7"/>
    <w:rsid w:val="00E27CD5"/>
    <w:rsid w:val="00E64734"/>
    <w:rsid w:val="00E8009B"/>
    <w:rsid w:val="00EA6E65"/>
    <w:rsid w:val="00EB7767"/>
    <w:rsid w:val="00ED27F6"/>
    <w:rsid w:val="00EF024F"/>
    <w:rsid w:val="00EF7A87"/>
    <w:rsid w:val="00F01947"/>
    <w:rsid w:val="00F07D45"/>
    <w:rsid w:val="00F106D8"/>
    <w:rsid w:val="00F1509F"/>
    <w:rsid w:val="00F15217"/>
    <w:rsid w:val="00F309A8"/>
    <w:rsid w:val="00F32909"/>
    <w:rsid w:val="00F37482"/>
    <w:rsid w:val="00F55E85"/>
    <w:rsid w:val="00F56988"/>
    <w:rsid w:val="00F97466"/>
    <w:rsid w:val="00F97D17"/>
    <w:rsid w:val="00FB2728"/>
    <w:rsid w:val="00FE366D"/>
    <w:rsid w:val="00FF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8A38F0-AD82-4587-9B42-A63733F1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C58D2"/>
    <w:pPr>
      <w:widowControl w:val="0"/>
      <w:jc w:val="both"/>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rsid w:val="00794D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rsid w:val="00794D96"/>
    <w:rPr>
      <w:sz w:val="18"/>
      <w:szCs w:val="18"/>
    </w:rPr>
  </w:style>
  <w:style w:type="paragraph" w:styleId="ab">
    <w:name w:val="footer"/>
    <w:basedOn w:val="a6"/>
    <w:link w:val="Char0"/>
    <w:uiPriority w:val="99"/>
    <w:unhideWhenUsed/>
    <w:rsid w:val="00794D96"/>
    <w:pPr>
      <w:tabs>
        <w:tab w:val="center" w:pos="4153"/>
        <w:tab w:val="right" w:pos="8306"/>
      </w:tabs>
      <w:snapToGrid w:val="0"/>
      <w:jc w:val="left"/>
    </w:pPr>
    <w:rPr>
      <w:sz w:val="18"/>
      <w:szCs w:val="18"/>
    </w:rPr>
  </w:style>
  <w:style w:type="character" w:customStyle="1" w:styleId="Char0">
    <w:name w:val="页脚 Char"/>
    <w:basedOn w:val="a7"/>
    <w:link w:val="ab"/>
    <w:uiPriority w:val="99"/>
    <w:rsid w:val="00794D96"/>
    <w:rPr>
      <w:sz w:val="18"/>
      <w:szCs w:val="18"/>
    </w:rPr>
  </w:style>
  <w:style w:type="paragraph" w:styleId="ac">
    <w:name w:val="Balloon Text"/>
    <w:basedOn w:val="a6"/>
    <w:link w:val="Char1"/>
    <w:uiPriority w:val="99"/>
    <w:semiHidden/>
    <w:unhideWhenUsed/>
    <w:rsid w:val="00794D96"/>
    <w:rPr>
      <w:sz w:val="18"/>
      <w:szCs w:val="18"/>
    </w:rPr>
  </w:style>
  <w:style w:type="character" w:customStyle="1" w:styleId="Char1">
    <w:name w:val="批注框文本 Char"/>
    <w:basedOn w:val="a7"/>
    <w:link w:val="ac"/>
    <w:uiPriority w:val="99"/>
    <w:semiHidden/>
    <w:rsid w:val="00794D96"/>
    <w:rPr>
      <w:sz w:val="18"/>
      <w:szCs w:val="18"/>
    </w:rPr>
  </w:style>
  <w:style w:type="character" w:styleId="ad">
    <w:name w:val="Hyperlink"/>
    <w:basedOn w:val="a7"/>
    <w:uiPriority w:val="99"/>
    <w:unhideWhenUsed/>
    <w:rsid w:val="00512E61"/>
    <w:rPr>
      <w:color w:val="0000FF" w:themeColor="hyperlink"/>
      <w:u w:val="single"/>
    </w:rPr>
  </w:style>
  <w:style w:type="paragraph" w:styleId="ae">
    <w:name w:val="Date"/>
    <w:basedOn w:val="a6"/>
    <w:next w:val="a6"/>
    <w:link w:val="Char2"/>
    <w:uiPriority w:val="99"/>
    <w:semiHidden/>
    <w:unhideWhenUsed/>
    <w:rsid w:val="006A7ABE"/>
    <w:pPr>
      <w:ind w:leftChars="2500" w:left="100"/>
    </w:pPr>
  </w:style>
  <w:style w:type="character" w:customStyle="1" w:styleId="Char2">
    <w:name w:val="日期 Char"/>
    <w:basedOn w:val="a7"/>
    <w:link w:val="ae"/>
    <w:uiPriority w:val="99"/>
    <w:semiHidden/>
    <w:rsid w:val="006A7ABE"/>
  </w:style>
  <w:style w:type="table" w:customStyle="1" w:styleId="2">
    <w:name w:val="网格型2"/>
    <w:basedOn w:val="a8"/>
    <w:next w:val="af"/>
    <w:uiPriority w:val="59"/>
    <w:rsid w:val="006A7AB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8"/>
    <w:uiPriority w:val="59"/>
    <w:rsid w:val="006A7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前言、引言标题"/>
    <w:next w:val="a6"/>
    <w:rsid w:val="00BA0A00"/>
    <w:pPr>
      <w:numPr>
        <w:numId w:val="2"/>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link w:val="Char3"/>
    <w:qFormat/>
    <w:rsid w:val="00BA0A00"/>
    <w:pPr>
      <w:numPr>
        <w:ilvl w:val="1"/>
        <w:numId w:val="2"/>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qFormat/>
    <w:rsid w:val="00BA0A00"/>
    <w:pPr>
      <w:numPr>
        <w:ilvl w:val="2"/>
        <w:numId w:val="2"/>
      </w:numPr>
      <w:outlineLvl w:val="2"/>
    </w:pPr>
    <w:rPr>
      <w:rFonts w:ascii="Times New Roman" w:eastAsia="黑体" w:hAnsi="Times New Roman" w:cs="Times New Roman"/>
      <w:kern w:val="0"/>
      <w:szCs w:val="20"/>
    </w:rPr>
  </w:style>
  <w:style w:type="paragraph" w:customStyle="1" w:styleId="a2">
    <w:name w:val="二级条标题"/>
    <w:basedOn w:val="a1"/>
    <w:next w:val="a6"/>
    <w:link w:val="Char4"/>
    <w:rsid w:val="00BA0A00"/>
    <w:pPr>
      <w:numPr>
        <w:ilvl w:val="3"/>
      </w:numPr>
      <w:outlineLvl w:val="3"/>
    </w:pPr>
  </w:style>
  <w:style w:type="paragraph" w:customStyle="1" w:styleId="a3">
    <w:name w:val="三级条标题"/>
    <w:basedOn w:val="a2"/>
    <w:next w:val="a6"/>
    <w:rsid w:val="00BA0A00"/>
    <w:pPr>
      <w:numPr>
        <w:ilvl w:val="4"/>
      </w:numPr>
      <w:outlineLvl w:val="4"/>
    </w:pPr>
  </w:style>
  <w:style w:type="paragraph" w:customStyle="1" w:styleId="a4">
    <w:name w:val="四级条标题"/>
    <w:basedOn w:val="a3"/>
    <w:next w:val="a6"/>
    <w:rsid w:val="00BA0A00"/>
    <w:pPr>
      <w:numPr>
        <w:ilvl w:val="5"/>
      </w:numPr>
      <w:outlineLvl w:val="5"/>
    </w:pPr>
  </w:style>
  <w:style w:type="paragraph" w:customStyle="1" w:styleId="a5">
    <w:name w:val="五级条标题"/>
    <w:basedOn w:val="a4"/>
    <w:next w:val="a6"/>
    <w:rsid w:val="00BA0A00"/>
    <w:pPr>
      <w:numPr>
        <w:ilvl w:val="6"/>
      </w:numPr>
      <w:outlineLvl w:val="6"/>
    </w:pPr>
  </w:style>
  <w:style w:type="character" w:customStyle="1" w:styleId="Char3">
    <w:name w:val="章标题 Char"/>
    <w:link w:val="a0"/>
    <w:qFormat/>
    <w:rsid w:val="00BA0A00"/>
    <w:rPr>
      <w:rFonts w:ascii="黑体" w:eastAsia="黑体" w:hAnsi="Times New Roman" w:cs="Times New Roman"/>
      <w:kern w:val="0"/>
      <w:szCs w:val="20"/>
    </w:rPr>
  </w:style>
  <w:style w:type="character" w:customStyle="1" w:styleId="Char5">
    <w:name w:val="段 Char"/>
    <w:link w:val="af0"/>
    <w:qFormat/>
    <w:rsid w:val="00BA0A00"/>
    <w:rPr>
      <w:rFonts w:ascii="宋体"/>
    </w:rPr>
  </w:style>
  <w:style w:type="paragraph" w:customStyle="1" w:styleId="af0">
    <w:name w:val="段"/>
    <w:link w:val="Char5"/>
    <w:qFormat/>
    <w:rsid w:val="00BA0A00"/>
    <w:pPr>
      <w:autoSpaceDE w:val="0"/>
      <w:autoSpaceDN w:val="0"/>
      <w:ind w:firstLineChars="200" w:firstLine="200"/>
      <w:jc w:val="both"/>
    </w:pPr>
    <w:rPr>
      <w:rFonts w:ascii="宋体"/>
    </w:rPr>
  </w:style>
  <w:style w:type="character" w:styleId="af1">
    <w:name w:val="footnote reference"/>
    <w:semiHidden/>
    <w:rsid w:val="00A438DF"/>
    <w:rPr>
      <w:vertAlign w:val="superscript"/>
    </w:rPr>
  </w:style>
  <w:style w:type="character" w:styleId="HTML">
    <w:name w:val="HTML Definition"/>
    <w:rsid w:val="00A438DF"/>
    <w:rPr>
      <w:i/>
      <w:iCs/>
    </w:rPr>
  </w:style>
  <w:style w:type="character" w:styleId="HTML0">
    <w:name w:val="HTML Sample"/>
    <w:rsid w:val="00A438DF"/>
    <w:rPr>
      <w:rFonts w:ascii="Courier New" w:hAnsi="Courier New"/>
    </w:rPr>
  </w:style>
  <w:style w:type="character" w:customStyle="1" w:styleId="af2">
    <w:name w:val="个人答复风格"/>
    <w:rsid w:val="00A438DF"/>
    <w:rPr>
      <w:rFonts w:ascii="Arial" w:eastAsia="宋体" w:hAnsi="Arial" w:cs="Arial"/>
      <w:color w:val="auto"/>
      <w:sz w:val="20"/>
    </w:rPr>
  </w:style>
  <w:style w:type="character" w:customStyle="1" w:styleId="af3">
    <w:name w:val="发布"/>
    <w:rsid w:val="00A438DF"/>
    <w:rPr>
      <w:rFonts w:ascii="黑体" w:eastAsia="黑体"/>
      <w:spacing w:val="22"/>
      <w:w w:val="100"/>
      <w:position w:val="3"/>
      <w:sz w:val="28"/>
    </w:rPr>
  </w:style>
  <w:style w:type="character" w:customStyle="1" w:styleId="Char6">
    <w:name w:val="纯文本 Char"/>
    <w:link w:val="af4"/>
    <w:rsid w:val="00405CEE"/>
    <w:rPr>
      <w:rFonts w:ascii="宋体" w:eastAsia="宋体" w:hAnsi="Courier New" w:cs="Times New Roman"/>
      <w:szCs w:val="20"/>
    </w:rPr>
  </w:style>
  <w:style w:type="paragraph" w:styleId="af4">
    <w:name w:val="Plain Text"/>
    <w:basedOn w:val="a6"/>
    <w:link w:val="Char6"/>
    <w:rsid w:val="00405CEE"/>
    <w:rPr>
      <w:rFonts w:ascii="宋体" w:eastAsia="宋体" w:hAnsi="Courier New" w:cs="Times New Roman"/>
      <w:szCs w:val="20"/>
    </w:rPr>
  </w:style>
  <w:style w:type="character" w:customStyle="1" w:styleId="Char10">
    <w:name w:val="纯文本 Char1"/>
    <w:basedOn w:val="a7"/>
    <w:uiPriority w:val="99"/>
    <w:semiHidden/>
    <w:rsid w:val="00405CEE"/>
    <w:rPr>
      <w:rFonts w:ascii="宋体" w:eastAsia="宋体" w:hAnsi="Courier New" w:cs="Courier New"/>
      <w:szCs w:val="21"/>
    </w:rPr>
  </w:style>
  <w:style w:type="paragraph" w:customStyle="1" w:styleId="af5">
    <w:name w:val="附录五级条标题"/>
    <w:basedOn w:val="a6"/>
    <w:next w:val="a6"/>
    <w:rsid w:val="00530403"/>
    <w:pPr>
      <w:widowControl/>
      <w:tabs>
        <w:tab w:val="left" w:pos="360"/>
      </w:tabs>
      <w:wordWrap w:val="0"/>
      <w:overflowPunct w:val="0"/>
      <w:autoSpaceDE w:val="0"/>
      <w:autoSpaceDN w:val="0"/>
      <w:spacing w:beforeLines="50" w:afterLines="50"/>
      <w:textAlignment w:val="baseline"/>
      <w:outlineLvl w:val="6"/>
    </w:pPr>
    <w:rPr>
      <w:rFonts w:ascii="黑体" w:eastAsia="黑体" w:hAnsi="Times New Roman" w:cs="Times New Roman"/>
      <w:kern w:val="21"/>
      <w:szCs w:val="20"/>
    </w:rPr>
  </w:style>
  <w:style w:type="paragraph" w:customStyle="1" w:styleId="WPSOffice1">
    <w:name w:val="WPSOffice手动目录 1"/>
    <w:rsid w:val="00530403"/>
    <w:rPr>
      <w:rFonts w:ascii="Times New Roman" w:eastAsia="宋体" w:hAnsi="Times New Roman" w:cs="Times New Roman"/>
      <w:kern w:val="0"/>
      <w:sz w:val="20"/>
      <w:szCs w:val="20"/>
    </w:rPr>
  </w:style>
  <w:style w:type="character" w:customStyle="1" w:styleId="Char4">
    <w:name w:val="二级条标题 Char"/>
    <w:link w:val="a2"/>
    <w:rsid w:val="00CC7DE1"/>
    <w:rPr>
      <w:rFonts w:ascii="Times New Roman" w:eastAsia="黑体" w:hAnsi="Times New Roman" w:cs="Times New Roman"/>
      <w:kern w:val="0"/>
      <w:szCs w:val="20"/>
    </w:rPr>
  </w:style>
  <w:style w:type="paragraph" w:styleId="af6">
    <w:name w:val="annotation text"/>
    <w:basedOn w:val="a6"/>
    <w:link w:val="Char7"/>
    <w:semiHidden/>
    <w:rsid w:val="00C110CA"/>
    <w:pPr>
      <w:jc w:val="left"/>
    </w:pPr>
    <w:rPr>
      <w:rFonts w:ascii="Times New Roman" w:eastAsia="宋体" w:hAnsi="Times New Roman" w:cs="Times New Roman"/>
    </w:rPr>
  </w:style>
  <w:style w:type="character" w:customStyle="1" w:styleId="Char7">
    <w:name w:val="批注文字 Char"/>
    <w:basedOn w:val="a7"/>
    <w:link w:val="af6"/>
    <w:semiHidden/>
    <w:rsid w:val="00C110CA"/>
    <w:rPr>
      <w:rFonts w:ascii="Times New Roman" w:eastAsia="宋体" w:hAnsi="Times New Roman" w:cs="Times New Roman"/>
    </w:rPr>
  </w:style>
  <w:style w:type="paragraph" w:styleId="HTML1">
    <w:name w:val="HTML Address"/>
    <w:basedOn w:val="a6"/>
    <w:link w:val="HTMLChar1"/>
    <w:rsid w:val="00241CBE"/>
    <w:rPr>
      <w:rFonts w:ascii="Times New Roman" w:eastAsia="宋体" w:hAnsi="Times New Roman" w:cs="Times New Roman"/>
      <w:i/>
      <w:iCs/>
      <w:szCs w:val="24"/>
    </w:rPr>
  </w:style>
  <w:style w:type="character" w:customStyle="1" w:styleId="HTMLChar">
    <w:name w:val="HTML 地址 Char"/>
    <w:basedOn w:val="a7"/>
    <w:uiPriority w:val="99"/>
    <w:semiHidden/>
    <w:rsid w:val="00241CBE"/>
    <w:rPr>
      <w:i/>
      <w:iCs/>
    </w:rPr>
  </w:style>
  <w:style w:type="character" w:customStyle="1" w:styleId="HTMLChar1">
    <w:name w:val="HTML 地址 Char1"/>
    <w:link w:val="HTML1"/>
    <w:rsid w:val="00241CBE"/>
    <w:rPr>
      <w:rFonts w:ascii="Times New Roman" w:eastAsia="宋体" w:hAnsi="Times New Roman" w:cs="Times New Roman"/>
      <w:i/>
      <w:iCs/>
      <w:szCs w:val="24"/>
    </w:rPr>
  </w:style>
  <w:style w:type="paragraph" w:customStyle="1" w:styleId="af7">
    <w:name w:val="标准称谓"/>
    <w:next w:val="a6"/>
    <w:rsid w:val="00A17CC8"/>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spacing w:val="20"/>
      <w:w w:val="148"/>
      <w:kern w:val="0"/>
      <w:sz w:val="52"/>
      <w:szCs w:val="20"/>
    </w:rPr>
  </w:style>
  <w:style w:type="paragraph" w:customStyle="1" w:styleId="af8">
    <w:name w:val="发布日期"/>
    <w:qFormat/>
    <w:rsid w:val="000834B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9">
    <w:name w:val="标准文件_段"/>
    <w:link w:val="Char8"/>
    <w:qFormat/>
    <w:rsid w:val="00A54F38"/>
    <w:pPr>
      <w:autoSpaceDE w:val="0"/>
      <w:autoSpaceDN w:val="0"/>
      <w:ind w:firstLineChars="200" w:firstLine="200"/>
      <w:jc w:val="both"/>
    </w:pPr>
    <w:rPr>
      <w:rFonts w:ascii="宋体" w:eastAsia="宋体" w:hAnsi="Times New Roman" w:cs="Times New Roman"/>
      <w:noProof/>
      <w:kern w:val="0"/>
      <w:szCs w:val="20"/>
    </w:rPr>
  </w:style>
  <w:style w:type="character" w:customStyle="1" w:styleId="Char8">
    <w:name w:val="标准文件_段 Char"/>
    <w:link w:val="af9"/>
    <w:qFormat/>
    <w:rsid w:val="00A54F38"/>
    <w:rPr>
      <w:rFonts w:ascii="宋体" w:eastAsia="宋体" w:hAnsi="Times New Roman" w:cs="Times New Roman"/>
      <w:noProof/>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19415">
      <w:bodyDiv w:val="1"/>
      <w:marLeft w:val="0"/>
      <w:marRight w:val="0"/>
      <w:marTop w:val="0"/>
      <w:marBottom w:val="0"/>
      <w:divBdr>
        <w:top w:val="none" w:sz="0" w:space="0" w:color="auto"/>
        <w:left w:val="none" w:sz="0" w:space="0" w:color="auto"/>
        <w:bottom w:val="none" w:sz="0" w:space="0" w:color="auto"/>
        <w:right w:val="none" w:sz="0" w:space="0" w:color="auto"/>
      </w:divBdr>
      <w:divsChild>
        <w:div w:id="2095121669">
          <w:marLeft w:val="0"/>
          <w:marRight w:val="0"/>
          <w:marTop w:val="100"/>
          <w:marBottom w:val="100"/>
          <w:divBdr>
            <w:top w:val="none" w:sz="0" w:space="0" w:color="auto"/>
            <w:left w:val="none" w:sz="0" w:space="0" w:color="auto"/>
            <w:bottom w:val="none" w:sz="0" w:space="0" w:color="auto"/>
            <w:right w:val="none" w:sz="0" w:space="0" w:color="auto"/>
          </w:divBdr>
          <w:divsChild>
            <w:div w:id="850723513">
              <w:marLeft w:val="0"/>
              <w:marRight w:val="0"/>
              <w:marTop w:val="100"/>
              <w:marBottom w:val="100"/>
              <w:divBdr>
                <w:top w:val="none" w:sz="0" w:space="0" w:color="auto"/>
                <w:left w:val="none" w:sz="0" w:space="0" w:color="auto"/>
                <w:bottom w:val="none" w:sz="0" w:space="0" w:color="auto"/>
                <w:right w:val="none" w:sz="0" w:space="0" w:color="auto"/>
              </w:divBdr>
              <w:divsChild>
                <w:div w:id="256719513">
                  <w:marLeft w:val="0"/>
                  <w:marRight w:val="0"/>
                  <w:marTop w:val="0"/>
                  <w:marBottom w:val="300"/>
                  <w:divBdr>
                    <w:top w:val="none" w:sz="0" w:space="0" w:color="auto"/>
                    <w:left w:val="none" w:sz="0" w:space="0" w:color="auto"/>
                    <w:bottom w:val="none" w:sz="0" w:space="0" w:color="auto"/>
                    <w:right w:val="none" w:sz="0" w:space="0" w:color="auto"/>
                  </w:divBdr>
                  <w:divsChild>
                    <w:div w:id="1213421726">
                      <w:marLeft w:val="0"/>
                      <w:marRight w:val="0"/>
                      <w:marTop w:val="150"/>
                      <w:marBottom w:val="0"/>
                      <w:divBdr>
                        <w:top w:val="none" w:sz="0" w:space="0" w:color="auto"/>
                        <w:left w:val="none" w:sz="0" w:space="0" w:color="auto"/>
                        <w:bottom w:val="none" w:sz="0" w:space="0" w:color="auto"/>
                        <w:right w:val="none" w:sz="0" w:space="0" w:color="auto"/>
                      </w:divBdr>
                    </w:div>
                    <w:div w:id="11278887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7F81A-8AD4-478F-B103-4189142F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gyb1</dc:creator>
  <cp:lastModifiedBy>gyb1</cp:lastModifiedBy>
  <cp:revision>55</cp:revision>
  <cp:lastPrinted>2024-01-12T06:03:00Z</cp:lastPrinted>
  <dcterms:created xsi:type="dcterms:W3CDTF">2021-12-08T05:04:00Z</dcterms:created>
  <dcterms:modified xsi:type="dcterms:W3CDTF">2025-02-13T10:32:00Z</dcterms:modified>
</cp:coreProperties>
</file>